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1B6B3A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Pr="001B6B3A">
            <w:rPr>
              <w:rStyle w:val="Nzevakce"/>
            </w:rPr>
            <w:t xml:space="preserve">„RS 4 úsek Ústí nad Labem - státní hranice CZ/SRN, Ústí nad Labem západ – portál Krušnohorského tunelu“ 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2F09BE">
        <w:t>21</w:t>
      </w:r>
      <w:r w:rsidR="003D5B89" w:rsidRPr="001A0901">
        <w:t>.</w:t>
      </w:r>
      <w:r w:rsidRPr="001A0901">
        <w:t xml:space="preserve"> </w:t>
      </w:r>
      <w:r w:rsidR="002F09BE">
        <w:t>1</w:t>
      </w:r>
      <w:r w:rsidR="00FB0BF9">
        <w:t>1</w:t>
      </w:r>
      <w:bookmarkStart w:id="0" w:name="_GoBack"/>
      <w:bookmarkEnd w:id="0"/>
      <w:r w:rsidRPr="001A0901">
        <w:t>. 20</w:t>
      </w:r>
      <w:bookmarkStart w:id="1" w:name="_Toc488655332"/>
      <w:bookmarkStart w:id="2" w:name="_Toc489536447"/>
      <w:bookmarkStart w:id="3" w:name="_Toc489617455"/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="008D63E4" w:rsidRPr="001A0901">
        <w:t>2</w:t>
      </w:r>
      <w:r w:rsidR="002F09BE">
        <w:t>2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1"/>
      <w:bookmarkEnd w:id="2"/>
      <w:bookmarkEnd w:id="3"/>
    </w:p>
    <w:p w:rsidR="00B14137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14137">
        <w:rPr>
          <w:noProof/>
        </w:rPr>
        <w:t>1.</w:t>
      </w:r>
      <w:r w:rsidR="00B14137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B14137">
        <w:rPr>
          <w:noProof/>
        </w:rPr>
        <w:t>Identifikační údaje STAVBY</w:t>
      </w:r>
      <w:r w:rsidR="00B14137">
        <w:rPr>
          <w:noProof/>
        </w:rPr>
        <w:tab/>
      </w:r>
      <w:r w:rsidR="00B14137">
        <w:rPr>
          <w:noProof/>
        </w:rPr>
        <w:fldChar w:fldCharType="begin"/>
      </w:r>
      <w:r w:rsidR="00B14137">
        <w:rPr>
          <w:noProof/>
        </w:rPr>
        <w:instrText xml:space="preserve"> PAGEREF _Toc116892167 \h </w:instrText>
      </w:r>
      <w:r w:rsidR="00B14137">
        <w:rPr>
          <w:noProof/>
        </w:rPr>
      </w:r>
      <w:r w:rsidR="00B14137">
        <w:rPr>
          <w:noProof/>
        </w:rPr>
        <w:fldChar w:fldCharType="separate"/>
      </w:r>
      <w:r w:rsidR="00B14137">
        <w:rPr>
          <w:noProof/>
        </w:rPr>
        <w:t>4</w:t>
      </w:r>
      <w:r w:rsidR="00B14137"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3.5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4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5A26DD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A80F8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A26DD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="00A80F8B"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 w:rsidR="00D068FA">
              <w:t xml:space="preserve"> staveb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97207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7538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D068FA" w:rsidRPr="00AD0C7B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68F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17529C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116892167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116892168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047668" w:rsidRDefault="002F09BE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RS 1 VRT Praha-Vršovice – Praha-Běchovice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4A212D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DÚR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047668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S632100173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4A212D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5003540004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2F09BE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2F09BE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Hlavní město Praha</w:t>
            </w:r>
          </w:p>
        </w:tc>
      </w:tr>
      <w:tr w:rsidR="002F09BE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F09BE" w:rsidRPr="00690CCF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2F09BE" w:rsidRPr="00690CCF" w:rsidRDefault="002F09BE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Běchovice, Dolní Měcholupy, Dolní Počernice, Dubeč, Hloubětín, Hostavice, Hostivař, Hrdlořezy, Kyje, Libeň, Malešice, Vršovice, Vysočany, Strašnice, Záběhlice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3" w:name="_Toc116892169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2F09BE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2F09B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F09B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 (SSVRT)</w:t>
            </w:r>
          </w:p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4" w:name="_Toc116892170"/>
      <w:r>
        <w:lastRenderedPageBreak/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5" w:name="_Toc116892171"/>
      <w:r>
        <w:t>Popis stavby</w:t>
      </w:r>
      <w:bookmarkEnd w:id="15"/>
    </w:p>
    <w:p w:rsidR="00995453" w:rsidRDefault="002F09BE" w:rsidP="00995453">
      <w:pPr>
        <w:pStyle w:val="Textbezslovn"/>
      </w:pPr>
      <w:r w:rsidRPr="002F09BE">
        <w:t>Jedná se o novostavbu vysokorychlostní tratě RS 1 Praha – Brno – Ostrava - Polsko a to v úseku Praha-Vršovice – Praha-Běchovice. Součástí stavby bude zkapacitnění úseku Praha-Běchovice – Praha-Libeň formou dostavby 4. koleje včetně nezbytných úprav ŽST Praha-Libeň, výstavba zázemí pro odstavení vysokorychlostních souprav v lokalitě Strašnice a výstavba spojovací koleje v úseku Praha-Libeň – Praha-Jahodnice. Novostavba VRT bude řešena včetně železničního spodku, svršku, sdělovacího vedení, trolejí, traťového zabezpečení, železničních estakád, mostů, propustků, odvodnění a protihlukových opatření</w:t>
      </w:r>
      <w:r w:rsidR="00995453" w:rsidRPr="00995453">
        <w:t>.</w:t>
      </w:r>
    </w:p>
    <w:p w:rsidR="00995453" w:rsidRDefault="00995453" w:rsidP="00995453">
      <w:pPr>
        <w:pStyle w:val="Textbezslovn"/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116892172"/>
      <w:r>
        <w:t xml:space="preserve">Odpovědné osoby a </w:t>
      </w:r>
      <w:r w:rsidR="000A419A">
        <w:t>projektový tým</w:t>
      </w:r>
      <w:bookmarkEnd w:id="16"/>
    </w:p>
    <w:p w:rsidR="0097207A" w:rsidRDefault="0097207A" w:rsidP="0097207A">
      <w:pPr>
        <w:pStyle w:val="Nadpis2-2"/>
      </w:pPr>
      <w:bookmarkStart w:id="17" w:name="_Toc116892173"/>
      <w:r>
        <w:t>Definice činností odpovědných osob a členů Projektového týmu</w:t>
      </w:r>
      <w:bookmarkEnd w:id="17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22"/>
        <w:gridCol w:w="6946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6946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6C315F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6C315F" w:rsidRPr="006C315F" w:rsidRDefault="006C315F" w:rsidP="00C96066">
            <w:pPr>
              <w:spacing w:line="288" w:lineRule="auto"/>
              <w:rPr>
                <w:sz w:val="16"/>
                <w:szCs w:val="16"/>
              </w:rPr>
            </w:pPr>
            <w:r w:rsidRPr="006C315F">
              <w:rPr>
                <w:sz w:val="16"/>
                <w:szCs w:val="16"/>
              </w:rPr>
              <w:t>Manažer BIM</w:t>
            </w:r>
          </w:p>
        </w:tc>
        <w:tc>
          <w:tcPr>
            <w:tcW w:w="6946" w:type="dxa"/>
            <w:vAlign w:val="center"/>
          </w:tcPr>
          <w:p w:rsidR="006C315F" w:rsidRPr="00E34DC3" w:rsidRDefault="006C315F" w:rsidP="00F52BC4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BIM </w:t>
            </w:r>
            <w:r>
              <w:rPr>
                <w:rStyle w:val="Tun"/>
                <w:b w:val="0"/>
                <w:sz w:val="16"/>
                <w:szCs w:val="16"/>
              </w:rPr>
              <w:br/>
              <w:t xml:space="preserve">v rámci procesu </w:t>
            </w:r>
            <w:r w:rsidRPr="006C315F">
              <w:rPr>
                <w:rStyle w:val="Tun"/>
                <w:b w:val="0"/>
                <w:sz w:val="16"/>
                <w:szCs w:val="16"/>
              </w:rPr>
              <w:t>a digitalizace stavebních projektů v</w:t>
            </w:r>
            <w:r>
              <w:rPr>
                <w:rStyle w:val="Tun"/>
                <w:b w:val="0"/>
                <w:sz w:val="16"/>
                <w:szCs w:val="16"/>
              </w:rPr>
              <w:t xml:space="preserve"> SŽ.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9F307A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9F307A">
              <w:rPr>
                <w:sz w:val="16"/>
                <w:szCs w:val="16"/>
              </w:rPr>
              <w:t xml:space="preserve">oordinátor </w:t>
            </w:r>
            <w:r>
              <w:rPr>
                <w:sz w:val="16"/>
                <w:szCs w:val="16"/>
              </w:rPr>
              <w:t>BIM</w:t>
            </w:r>
            <w:r w:rsidR="009F307A"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 Informačního modelu</w:t>
            </w:r>
            <w:r w:rsidR="00E631BD">
              <w:rPr>
                <w:rStyle w:val="Tun"/>
                <w:b w:val="0"/>
                <w:sz w:val="16"/>
                <w:szCs w:val="16"/>
              </w:rPr>
              <w:t xml:space="preserve"> stavby (IMS)</w:t>
            </w:r>
            <w:r>
              <w:rPr>
                <w:rStyle w:val="Tun"/>
                <w:b w:val="0"/>
                <w:sz w:val="16"/>
                <w:szCs w:val="16"/>
              </w:rPr>
              <w:t xml:space="preserve">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E631BD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</w:t>
            </w:r>
            <w:r w:rsidR="00E631BD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 xml:space="preserve">je osoba na straně Zhotovitele, jehož náplní činnosti je tvorba a koordinace </w:t>
            </w:r>
            <w:r w:rsidR="009D5CFB">
              <w:rPr>
                <w:rStyle w:val="Tun"/>
                <w:b w:val="0"/>
                <w:sz w:val="16"/>
                <w:szCs w:val="16"/>
              </w:rPr>
              <w:t>IMS</w:t>
            </w:r>
            <w:r w:rsidRPr="00B70D51">
              <w:rPr>
                <w:rStyle w:val="Tun"/>
                <w:b w:val="0"/>
                <w:sz w:val="16"/>
                <w:szCs w:val="16"/>
              </w:rPr>
              <w:t xml:space="preserve">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 xml:space="preserve">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K</w:t>
            </w:r>
            <w:r w:rsidRPr="00E468C8">
              <w:rPr>
                <w:rStyle w:val="Tun"/>
                <w:b w:val="0"/>
                <w:sz w:val="16"/>
                <w:szCs w:val="16"/>
              </w:rPr>
              <w:t>oordinačního modelu</w:t>
            </w:r>
            <w:r w:rsidR="006C3F22">
              <w:rPr>
                <w:rStyle w:val="Tun"/>
                <w:b w:val="0"/>
                <w:sz w:val="16"/>
                <w:szCs w:val="16"/>
              </w:rPr>
              <w:t xml:space="preserve"> DiMS a sdružených 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9E2594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352097" w:rsidRDefault="0097207A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  <w:r w:rsidR="004D21B7">
              <w:rPr>
                <w:sz w:val="16"/>
                <w:szCs w:val="16"/>
              </w:rPr>
              <w:t xml:space="preserve"> </w:t>
            </w:r>
          </w:p>
          <w:p w:rsidR="0097207A" w:rsidRPr="001A5F4E" w:rsidRDefault="004D21B7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Odpovědného projektanta může také plnit funkci Specialisty, v případě že </w:t>
            </w:r>
            <w:r w:rsidR="00352097">
              <w:rPr>
                <w:sz w:val="16"/>
                <w:szCs w:val="16"/>
              </w:rPr>
              <w:t>je současně osobou kvalifikovaného člena týmu Zhotovitele s profesní specializací pro</w:t>
            </w:r>
            <w:r>
              <w:rPr>
                <w:sz w:val="16"/>
                <w:szCs w:val="16"/>
              </w:rPr>
              <w:t xml:space="preserve"> části jim zpracovávaného Díla</w:t>
            </w:r>
            <w:r w:rsidR="00352097">
              <w:rPr>
                <w:sz w:val="16"/>
                <w:szCs w:val="16"/>
              </w:rPr>
              <w:t>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8" w:name="_Toc116892174"/>
      <w:r>
        <w:t>Odpovědné osoby</w:t>
      </w:r>
      <w:r w:rsidR="00F2688E">
        <w:t xml:space="preserve"> </w:t>
      </w:r>
      <w:r w:rsidR="0097207A">
        <w:t>Objednatele</w:t>
      </w:r>
      <w:bookmarkEnd w:id="18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>Ing. Matouš Procházka</w:t>
            </w:r>
          </w:p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>Křižíkova 552/2, 186 00 Praha 8, místnost 015</w:t>
            </w:r>
          </w:p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 xml:space="preserve">E: </w:t>
            </w:r>
            <w:hyperlink r:id="rId11" w:history="1">
              <w:r w:rsidRPr="002F09BE">
                <w:rPr>
                  <w:rStyle w:val="Hypertextovodkaz"/>
                  <w:sz w:val="18"/>
                </w:rPr>
                <w:t>ProchazkaMat@SpravaZeleznic.cz</w:t>
              </w:r>
            </w:hyperlink>
          </w:p>
          <w:p w:rsidR="0097207A" w:rsidRPr="00E6327C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 xml:space="preserve">T: </w:t>
            </w:r>
            <w:r w:rsidR="00F71EF2" w:rsidRPr="002F09BE">
              <w:rPr>
                <w:sz w:val="18"/>
              </w:rPr>
              <w:t xml:space="preserve">+420 </w:t>
            </w:r>
            <w:r w:rsidR="002F09BE" w:rsidRPr="002F09BE">
              <w:rPr>
                <w:sz w:val="18"/>
              </w:rPr>
              <w:t>720 941 416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4D21B7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</w:t>
            </w:r>
            <w:r w:rsidR="0097207A">
              <w:rPr>
                <w:sz w:val="18"/>
              </w:rPr>
              <w:t xml:space="preserve"> BIM</w:t>
            </w:r>
            <w:r>
              <w:rPr>
                <w:sz w:val="18"/>
              </w:rPr>
              <w:t xml:space="preserve"> SŽ</w:t>
            </w:r>
            <w:r w:rsidR="0097207A"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AD0F0E">
              <w:rPr>
                <w:sz w:val="18"/>
              </w:rPr>
              <w:t xml:space="preserve"> a strategie</w:t>
            </w:r>
            <w:r w:rsidRPr="00AD0F0E">
              <w:rPr>
                <w:sz w:val="18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2F09BE" w:rsidP="00AD0F0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9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20" w:name="_Toc116892175"/>
      <w:r>
        <w:lastRenderedPageBreak/>
        <w:t>Odpovědné osoby Zhotovitel</w:t>
      </w:r>
      <w:bookmarkEnd w:id="19"/>
      <w:bookmarkEnd w:id="20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810A09" w:rsidRDefault="00810A09" w:rsidP="00810A09">
      <w:pPr>
        <w:pStyle w:val="Nadpis2-2"/>
        <w:spacing w:before="240" w:after="120"/>
      </w:pPr>
      <w:bookmarkStart w:id="21" w:name="_Toc116892176"/>
      <w:r>
        <w:t>Matice odpovědnosti</w:t>
      </w:r>
      <w:bookmarkEnd w:id="21"/>
      <w:r>
        <w:t xml:space="preserve"> </w:t>
      </w:r>
    </w:p>
    <w:p w:rsidR="00544F0D" w:rsidRDefault="00810A09" w:rsidP="00810A09">
      <w:pPr>
        <w:pStyle w:val="Text2-1"/>
      </w:pPr>
      <w:r>
        <w:t xml:space="preserve">Dílo je zpracováváno v rámci systému pilotních projektů pro implementaci procesu BIM. Základní struktura Matice odpovědnosti se dělí na Matici odpovědnosti Objednatele (dále jen Matice SŽ) a Matici </w:t>
      </w:r>
      <w:r w:rsidR="00544F0D">
        <w:t xml:space="preserve">odpovědnosti na straně Zhotovitele (dále jen Matice Zhotovitele). Základní navržená struktura </w:t>
      </w:r>
      <w:r w:rsidR="00E142B1">
        <w:t xml:space="preserve">Matice Zhotovitele </w:t>
      </w:r>
      <w:r w:rsidR="00544F0D">
        <w:t>vychází ze standardních odpovědností členu Projektového týmu a výstupů již prováděných pilotních projektů. Navržena struktura je určená k prověření a může být v průběhu zpracování Díla upravována dle logických návazností a potřeb na</w:t>
      </w:r>
      <w:r>
        <w:t xml:space="preserve"> straně Zhotovitele i Objednatele</w:t>
      </w:r>
      <w:r w:rsidR="00544F0D">
        <w:t xml:space="preserve">. Úprava a detailní rozpracování </w:t>
      </w:r>
      <w:r w:rsidR="00E142B1">
        <w:t xml:space="preserve">obou </w:t>
      </w:r>
      <w:r w:rsidR="00544F0D">
        <w:t xml:space="preserve">Matic odpovědnosti a </w:t>
      </w:r>
      <w:r w:rsidR="00E142B1">
        <w:t xml:space="preserve">způsob </w:t>
      </w:r>
      <w:r w:rsidR="00544F0D">
        <w:t>její implementace do připomínkového procesu v rámci zpracování Díla bude odsouhlasena Objednatelem před zahájením těchto procesů.</w:t>
      </w:r>
    </w:p>
    <w:p w:rsidR="00CD5CC4" w:rsidRDefault="00544F0D" w:rsidP="00CD5CC4">
      <w:pPr>
        <w:pStyle w:val="Text2-1"/>
      </w:pPr>
      <w:r>
        <w:t>Matice SŽ</w:t>
      </w:r>
      <w:r w:rsidR="00CD5CC4">
        <w:t xml:space="preserve"> je rozdělná do dvou části, a to z hlediska:</w:t>
      </w:r>
    </w:p>
    <w:p w:rsidR="00CD5CC4" w:rsidRDefault="00CD5CC4" w:rsidP="00CD5CC4">
      <w:pPr>
        <w:pStyle w:val="Text2-1"/>
        <w:numPr>
          <w:ilvl w:val="0"/>
          <w:numId w:val="39"/>
        </w:numPr>
      </w:pPr>
      <w:r>
        <w:t>odpovědností konkrétních zástupců Objednatel, nebo částí SŽ, dle z organizačního řádu SŽ, (</w:t>
      </w:r>
      <w:r w:rsidR="00012B0A">
        <w:t>O</w:t>
      </w:r>
      <w:r>
        <w:t>rganizační</w:t>
      </w:r>
      <w:r w:rsidR="006D1735">
        <w:t xml:space="preserve"> odpovědnost</w:t>
      </w:r>
      <w:r>
        <w:t xml:space="preserve">) </w:t>
      </w:r>
    </w:p>
    <w:p w:rsidR="00810A09" w:rsidRDefault="00CD5CC4" w:rsidP="00CD5CC4">
      <w:pPr>
        <w:pStyle w:val="Text2-1"/>
        <w:numPr>
          <w:ilvl w:val="0"/>
          <w:numId w:val="39"/>
        </w:numPr>
      </w:pPr>
      <w:r>
        <w:t>procesního a časového připomínkování a schvalování Díla</w:t>
      </w:r>
      <w:r w:rsidR="00E142B1">
        <w:t xml:space="preserve"> dle Harmonogramu plnění</w:t>
      </w:r>
      <w:r>
        <w:t xml:space="preserve"> ze strany Objednatele (</w:t>
      </w:r>
      <w:r w:rsidR="00012B0A">
        <w:t>P</w:t>
      </w:r>
      <w:r>
        <w:t>rocesní</w:t>
      </w:r>
      <w:r w:rsidR="00012B0A">
        <w:t xml:space="preserve"> odpovědnost</w:t>
      </w:r>
      <w:r>
        <w:t xml:space="preserve">) </w:t>
      </w:r>
      <w:r w:rsidR="00810A09">
        <w:t xml:space="preserve">   </w:t>
      </w:r>
    </w:p>
    <w:p w:rsidR="006D1735" w:rsidRDefault="00F007D1" w:rsidP="006D1735">
      <w:pPr>
        <w:pStyle w:val="Text2-2"/>
      </w:pPr>
      <w:r>
        <w:t>Matice SŽ - o</w:t>
      </w:r>
      <w:r w:rsidR="006D1735">
        <w:t>rganizační odpovědnost</w:t>
      </w:r>
    </w:p>
    <w:p w:rsidR="006D1735" w:rsidRDefault="004A336F" w:rsidP="006D1735">
      <w:pPr>
        <w:pStyle w:val="Text2-1"/>
        <w:numPr>
          <w:ilvl w:val="0"/>
          <w:numId w:val="0"/>
        </w:numPr>
        <w:ind w:left="1097"/>
      </w:pPr>
      <w:r>
        <w:t>Organizační odpovědnost je rozdělena celkově do čtyřech úrovní:</w:t>
      </w:r>
    </w:p>
    <w:p w:rsidR="004A336F" w:rsidRDefault="004A336F" w:rsidP="004A336F">
      <w:pPr>
        <w:pStyle w:val="Text2-1"/>
        <w:numPr>
          <w:ilvl w:val="1"/>
          <w:numId w:val="39"/>
        </w:numPr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Úroveň</w:t>
      </w:r>
      <w:r>
        <w:t xml:space="preserve"> – vrcholové schválení na úrovní osoby projektového manažera stavby – HIS – vydání Souhrnného stanoviska</w:t>
      </w:r>
      <w:r w:rsidR="00471397">
        <w:t xml:space="preserve"> k Dílu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II.  </w:t>
      </w:r>
      <w:r w:rsidRPr="004A336F">
        <w:rPr>
          <w:b/>
        </w:rPr>
        <w:t>Úroveň</w:t>
      </w:r>
      <w:r>
        <w:t xml:space="preserve"> – schválení dokumentace na úrovni odsouhlasení Souhrnného stanoviska v případě kolizních požadavků </w:t>
      </w:r>
      <w:r w:rsidR="00471397">
        <w:t>Dílčích stanovisek profesí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III. Úroveň </w:t>
      </w:r>
      <w:r>
        <w:t xml:space="preserve">– schválení </w:t>
      </w:r>
      <w:r w:rsidR="00471397">
        <w:t>na úrovni profesního členění dokumentace</w:t>
      </w:r>
      <w:r w:rsidR="00995453">
        <w:t xml:space="preserve"> „Profesním garantem“</w:t>
      </w:r>
      <w:r w:rsidR="00471397">
        <w:t xml:space="preserve"> – vydání dílčího stanoviska k části dokumentace, které bude součástí Souhrnného stanoviska k Dílu</w:t>
      </w:r>
    </w:p>
    <w:p w:rsidR="00471397" w:rsidRDefault="00471397" w:rsidP="004A336F">
      <w:pPr>
        <w:pStyle w:val="Text2-1"/>
        <w:numPr>
          <w:ilvl w:val="1"/>
          <w:numId w:val="39"/>
        </w:numPr>
      </w:pPr>
      <w:r>
        <w:rPr>
          <w:b/>
        </w:rPr>
        <w:t>IV</w:t>
      </w:r>
      <w:r w:rsidRPr="00471397">
        <w:t>.</w:t>
      </w:r>
      <w:r>
        <w:t xml:space="preserve"> </w:t>
      </w:r>
      <w:r w:rsidRPr="00471397">
        <w:rPr>
          <w:b/>
        </w:rPr>
        <w:t xml:space="preserve">Úroveň </w:t>
      </w:r>
      <w:r w:rsidR="00995453">
        <w:t>– vytvoření připomínek ke konkrétní části dokumentaci a její zaslání na schválení Profesním garantem.</w:t>
      </w:r>
    </w:p>
    <w:p w:rsidR="00C7625A" w:rsidRDefault="00C7625A" w:rsidP="00995453">
      <w:pPr>
        <w:pStyle w:val="Text2-2"/>
        <w:sectPr w:rsidR="00C7625A" w:rsidSect="00935B52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</w:p>
    <w:p w:rsidR="00995453" w:rsidRDefault="00995453" w:rsidP="00995453">
      <w:pPr>
        <w:pStyle w:val="Text2-2"/>
      </w:pPr>
      <w:r>
        <w:lastRenderedPageBreak/>
        <w:t xml:space="preserve">Matice SŽ - </w:t>
      </w:r>
      <w:r w:rsidR="00F42013">
        <w:t>procesní</w:t>
      </w:r>
      <w:r>
        <w:t xml:space="preserve"> odpovědnost</w:t>
      </w:r>
    </w:p>
    <w:p w:rsidR="00810A09" w:rsidRDefault="00952E3D">
      <w:pPr>
        <w:rPr>
          <w:rFonts w:asciiTheme="majorHAnsi" w:hAnsiTheme="majorHAnsi"/>
          <w:b/>
          <w:caps/>
          <w:sz w:val="2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999531" wp14:editId="35FD21CA">
                <wp:simplePos x="0" y="0"/>
                <wp:positionH relativeFrom="column">
                  <wp:posOffset>-35560</wp:posOffset>
                </wp:positionH>
                <wp:positionV relativeFrom="paragraph">
                  <wp:posOffset>2261566</wp:posOffset>
                </wp:positionV>
                <wp:extent cx="927100" cy="810260"/>
                <wp:effectExtent l="20320" t="17780" r="26670" b="2667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7100" cy="8102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5A" w:rsidRPr="00C7625A" w:rsidRDefault="00C7625A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99531" id="Obdélník 5" o:spid="_x0000_s1026" style="position:absolute;margin-left:-2.8pt;margin-top:178.1pt;width:73pt;height:63.8pt;rotation:-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" filled="f" strokecolor="red" strokeweight="2.25pt">
                <v:textbox>
                  <w:txbxContent>
                    <w:p w:rsidR="00C7625A" w:rsidRPr="00C7625A" w:rsidRDefault="00C7625A" w:rsidP="00C7625A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90D76A3" wp14:editId="748D3203">
                <wp:simplePos x="0" y="0"/>
                <wp:positionH relativeFrom="column">
                  <wp:posOffset>1587701</wp:posOffset>
                </wp:positionH>
                <wp:positionV relativeFrom="paragraph">
                  <wp:posOffset>3344716</wp:posOffset>
                </wp:positionV>
                <wp:extent cx="1004944" cy="704215"/>
                <wp:effectExtent l="16827" t="21273" r="21908" b="21907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4944" cy="704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5A" w:rsidRPr="00C7625A" w:rsidRDefault="00C7625A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D76A3" id="Obdélník 8" o:spid="_x0000_s1027" style="position:absolute;margin-left:125pt;margin-top:263.35pt;width:79.15pt;height:55.45pt;rotation:-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" filled="f" strokecolor="red" strokeweight="2.25pt">
                <v:textbox>
                  <w:txbxContent>
                    <w:p w:rsidR="00C7625A" w:rsidRPr="00C7625A" w:rsidRDefault="00C7625A" w:rsidP="00C7625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356940</wp:posOffset>
                </wp:positionH>
                <wp:positionV relativeFrom="paragraph">
                  <wp:posOffset>2865988</wp:posOffset>
                </wp:positionV>
                <wp:extent cx="1002665" cy="1672509"/>
                <wp:effectExtent l="27305" t="10795" r="15240" b="1524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2665" cy="16725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5A" w:rsidRPr="00C7625A" w:rsidRDefault="00C7625A" w:rsidP="001306E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>Úroveň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8" style="position:absolute;margin-left:28.1pt;margin-top:225.65pt;width:78.95pt;height:131.7pt;rotation:-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" filled="f" strokecolor="red" strokeweight="2.25pt">
                <v:textbox>
                  <w:txbxContent>
                    <w:p w:rsidR="00C7625A" w:rsidRPr="00C7625A" w:rsidRDefault="00C7625A" w:rsidP="001306E5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>Úroveň III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BB6A21" wp14:editId="13E339E6">
                <wp:simplePos x="0" y="0"/>
                <wp:positionH relativeFrom="column">
                  <wp:posOffset>108317</wp:posOffset>
                </wp:positionH>
                <wp:positionV relativeFrom="paragraph">
                  <wp:posOffset>4172136</wp:posOffset>
                </wp:positionV>
                <wp:extent cx="1502713" cy="1677573"/>
                <wp:effectExtent l="26987" t="11113" r="10478" b="10477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02713" cy="167757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E3D" w:rsidRPr="00C7625A" w:rsidRDefault="00952E3D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B6A21" id="Obdélník 11" o:spid="_x0000_s1029" style="position:absolute;margin-left:8.55pt;margin-top:328.5pt;width:118.3pt;height:132.1pt;rotation:-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" filled="f" strokecolor="red" strokeweight="2.25pt">
                <v:textbox>
                  <w:txbxContent>
                    <w:p w:rsidR="00952E3D" w:rsidRPr="00C7625A" w:rsidRDefault="00952E3D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36DC00" wp14:editId="47A29104">
                <wp:simplePos x="0" y="0"/>
                <wp:positionH relativeFrom="column">
                  <wp:posOffset>596887</wp:posOffset>
                </wp:positionH>
                <wp:positionV relativeFrom="paragraph">
                  <wp:posOffset>6216332</wp:posOffset>
                </wp:positionV>
                <wp:extent cx="997572" cy="831645"/>
                <wp:effectExtent l="25717" t="12383" r="19368" b="19367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7572" cy="8316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E3D" w:rsidRPr="00C7625A" w:rsidRDefault="00952E3D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6DC00" id="Obdélník 12" o:spid="_x0000_s1030" style="position:absolute;margin-left:47pt;margin-top:489.45pt;width:78.55pt;height:65.5pt;rotation:-9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" filled="f" strokecolor="red" strokeweight="2.25pt">
                <v:textbox>
                  <w:txbxContent>
                    <w:p w:rsidR="00952E3D" w:rsidRPr="00C7625A" w:rsidRDefault="00952E3D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C7625A">
        <w:rPr>
          <w:noProof/>
          <w:lang w:eastAsia="cs-CZ"/>
        </w:rPr>
        <w:drawing>
          <wp:inline distT="0" distB="0" distL="0" distR="0" wp14:anchorId="63D11C7B" wp14:editId="683E9111">
            <wp:extent cx="7882725" cy="4866335"/>
            <wp:effectExtent l="3175" t="0" r="7620" b="7620"/>
            <wp:docPr id="1486" name="Picture 1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Picture 148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93444" cy="487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0A09">
        <w:br w:type="page"/>
      </w:r>
    </w:p>
    <w:p w:rsidR="00304C18" w:rsidRDefault="00304C18" w:rsidP="00810A09">
      <w:pPr>
        <w:pStyle w:val="Nadpis2-1"/>
        <w:keepNext w:val="0"/>
        <w:widowControl w:val="0"/>
      </w:pPr>
      <w:bookmarkStart w:id="22" w:name="_Toc116892177"/>
      <w:r>
        <w:lastRenderedPageBreak/>
        <w:t>Cíle BIM projektu</w:t>
      </w:r>
      <w:bookmarkEnd w:id="22"/>
    </w:p>
    <w:p w:rsidR="00B67C4E" w:rsidRDefault="00B67C4E" w:rsidP="00B67C4E">
      <w:pPr>
        <w:pStyle w:val="Nadpis2-2"/>
      </w:pPr>
      <w:bookmarkStart w:id="23" w:name="_Toc116892178"/>
      <w:r>
        <w:t>Základní charakteristika cílů BIM projektu</w:t>
      </w:r>
      <w:bookmarkEnd w:id="23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r w:rsidR="006C3F22">
        <w:t>DiMS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="006C3F22">
        <w:t>DiMS</w:t>
      </w:r>
      <w:r w:rsidRPr="002C60C2">
        <w:t xml:space="preserve"> je součást Díla a bude zpracováván a projednávám průběžně a společně s ostatními části Díla dle Harmonogramu plnění.</w:t>
      </w:r>
      <w:r w:rsidR="0032351D">
        <w:t xml:space="preserve"> Pro vyloučení pochybností se uvádí, že Dílo je pracováváno v režimu BIM jako celek, tj. </w:t>
      </w:r>
      <w:r w:rsidR="006C3F22">
        <w:t>DiMS</w:t>
      </w:r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 bude prezentován na dílčích poradách</w:t>
      </w:r>
      <w:r w:rsidR="005F7AE0">
        <w:t xml:space="preserve"> dle aktuálního stavu rozpracování Díla</w:t>
      </w:r>
      <w:r w:rsidR="0032351D">
        <w:t xml:space="preserve">. 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(DiMS)</w:t>
      </w:r>
      <w:r w:rsidR="0032351D">
        <w:t xml:space="preserve"> bude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32351D">
        <w:t xml:space="preserve"> v rámci CDE. </w:t>
      </w:r>
      <w:r w:rsidR="002C60C2"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</w:t>
      </w:r>
      <w:r w:rsidR="00AD3ADF">
        <w:t>DiMS</w:t>
      </w:r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EA2FEB" w:rsidRDefault="00EA2FEB">
      <w:pPr>
        <w:rPr>
          <w:sz w:val="22"/>
        </w:rPr>
      </w:pPr>
      <w:r>
        <w:br w:type="page"/>
      </w:r>
    </w:p>
    <w:p w:rsidR="003B09F4" w:rsidRDefault="003B09F4" w:rsidP="003B09F4">
      <w:pPr>
        <w:pStyle w:val="Nadpis2-2"/>
      </w:pPr>
      <w:bookmarkStart w:id="24" w:name="_Toc116892179"/>
      <w:r>
        <w:lastRenderedPageBreak/>
        <w:t>Cíle BIM projektu</w:t>
      </w:r>
      <w:bookmarkEnd w:id="24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3B09F4" w:rsidRPr="00B46D03" w:rsidTr="004D21B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F71EF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 xml:space="preserve">- Metodiky pro výběr společného datového prostředí (CDE) – </w:t>
            </w:r>
          </w:p>
          <w:p w:rsidR="003B09F4" w:rsidRPr="00C33702" w:rsidRDefault="00F71EF2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   </w:t>
            </w:r>
            <w:r w:rsidR="003B09F4" w:rsidRPr="00C33702">
              <w:rPr>
                <w:i/>
                <w:sz w:val="15"/>
                <w:szCs w:val="15"/>
              </w:rPr>
              <w:t>(příloha D.1</w:t>
            </w:r>
            <w:r w:rsidR="003B09F4">
              <w:rPr>
                <w:i/>
                <w:sz w:val="15"/>
                <w:szCs w:val="15"/>
              </w:rPr>
              <w:t xml:space="preserve"> BIM Protokol</w:t>
            </w:r>
            <w:r w:rsidR="003B09F4" w:rsidRPr="00C33702">
              <w:rPr>
                <w:i/>
                <w:sz w:val="15"/>
                <w:szCs w:val="15"/>
              </w:rPr>
              <w:t>)</w:t>
            </w:r>
          </w:p>
          <w:p w:rsidR="003B09F4" w:rsidRPr="00C33702" w:rsidRDefault="003B09F4" w:rsidP="004D21B7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(Common Data Environment – CDE) </w:t>
            </w:r>
          </w:p>
          <w:p w:rsidR="003B09F4" w:rsidRPr="00186A7F" w:rsidRDefault="003B09F4" w:rsidP="004D21B7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Přehled atributů pro výběr (Příloha D.2</w:t>
            </w:r>
            <w:r>
              <w:rPr>
                <w:i/>
                <w:sz w:val="15"/>
                <w:szCs w:val="15"/>
              </w:rPr>
              <w:t xml:space="preserve">  BIM Protokol</w:t>
            </w:r>
            <w:r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AF1050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Vytvoření struktury </w:t>
            </w:r>
            <w:r w:rsidR="00FC4E82">
              <w:rPr>
                <w:sz w:val="16"/>
              </w:rPr>
              <w:t>CDE dle kapitoly 5 tohoto dokumentu.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358FD" w:rsidRDefault="00A358FD" w:rsidP="00A358F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E84FC4">
              <w:rPr>
                <w:sz w:val="16"/>
              </w:rPr>
              <w:t>Využití CDE</w:t>
            </w:r>
            <w:r>
              <w:rPr>
                <w:color w:val="FF0000"/>
                <w:sz w:val="16"/>
              </w:rPr>
              <w:t xml:space="preserve"> </w:t>
            </w:r>
            <w:r w:rsidRPr="00A358FD">
              <w:rPr>
                <w:sz w:val="16"/>
              </w:rPr>
              <w:t>(případně propojení se SW</w:t>
            </w:r>
            <w:r w:rsidR="008F60C8">
              <w:rPr>
                <w:sz w:val="16"/>
              </w:rPr>
              <w:t xml:space="preserve"> dostupnými přes CDE)</w:t>
            </w:r>
            <w:r w:rsidRPr="00E84FC4">
              <w:rPr>
                <w:sz w:val="16"/>
              </w:rPr>
              <w:t xml:space="preserve"> pro tvorbu a správu </w:t>
            </w:r>
            <w:r>
              <w:rPr>
                <w:sz w:val="16"/>
              </w:rPr>
              <w:t>P</w:t>
            </w:r>
            <w:r w:rsidRPr="00E84FC4">
              <w:rPr>
                <w:sz w:val="16"/>
              </w:rPr>
              <w:t xml:space="preserve">odrobného harmonogramu plnění Díla (dále také PHD). </w:t>
            </w:r>
            <w:r>
              <w:rPr>
                <w:sz w:val="16"/>
              </w:rPr>
              <w:t>PHD bude vždy obsahovat aktuální stav zpracování Díla v rozsahu termínů konání vybraných činností: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</w:t>
            </w:r>
            <w:r w:rsidRPr="00BF6DF2">
              <w:rPr>
                <w:sz w:val="16"/>
              </w:rPr>
              <w:t>stupní porada (celá stavba)</w:t>
            </w:r>
            <w:r w:rsidRPr="00BF6DF2">
              <w:rPr>
                <w:sz w:val="16"/>
              </w:rPr>
              <w:tab/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technického řešení</w:t>
            </w:r>
            <w:r>
              <w:rPr>
                <w:sz w:val="16"/>
              </w:rPr>
              <w:t xml:space="preserve"> jednotlivých SO/PS nebo profesních celků,</w:t>
            </w:r>
            <w:r w:rsidRPr="00BF6DF2">
              <w:rPr>
                <w:sz w:val="16"/>
              </w:rPr>
              <w:tab/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výrobní</w:t>
            </w:r>
            <w:r>
              <w:rPr>
                <w:sz w:val="16"/>
              </w:rPr>
              <w:t>, včetně porad pro režim BIM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závěrečn</w:t>
            </w:r>
            <w:r>
              <w:rPr>
                <w:sz w:val="16"/>
              </w:rPr>
              <w:t>é, včetně projednání zpracování Díla v režimu BIM,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připomínek</w:t>
            </w:r>
            <w:r>
              <w:rPr>
                <w:sz w:val="16"/>
              </w:rPr>
              <w:t xml:space="preserve"> konkrétních SO/PS,</w:t>
            </w:r>
          </w:p>
          <w:p w:rsidR="00A358FD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</w:t>
            </w:r>
            <w:r w:rsidRPr="00BF6DF2">
              <w:rPr>
                <w:sz w:val="16"/>
              </w:rPr>
              <w:t>onferenční projednání připomínek (cel</w:t>
            </w:r>
            <w:r>
              <w:rPr>
                <w:sz w:val="16"/>
              </w:rPr>
              <w:t>é</w:t>
            </w:r>
            <w:r w:rsidRPr="00BF6DF2">
              <w:rPr>
                <w:sz w:val="16"/>
              </w:rPr>
              <w:t xml:space="preserve"> stavb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>)</w:t>
            </w:r>
            <w:r>
              <w:rPr>
                <w:sz w:val="16"/>
              </w:rPr>
              <w:t>,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uzavření technického řešení profesního celku, nebo jeho rozhodující části (např. schválení GPK a pod),  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plánovaná a provedená š</w:t>
            </w:r>
            <w:r w:rsidRPr="00BF6DF2">
              <w:rPr>
                <w:sz w:val="16"/>
              </w:rPr>
              <w:t>kolení</w:t>
            </w:r>
            <w:r>
              <w:rPr>
                <w:sz w:val="16"/>
              </w:rPr>
              <w:t xml:space="preserve"> nebo exkurze, nebo propagační akce,</w:t>
            </w:r>
          </w:p>
          <w:p w:rsidR="00A358FD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</w:t>
            </w:r>
            <w:r w:rsidRPr="00BF6DF2">
              <w:rPr>
                <w:sz w:val="16"/>
              </w:rPr>
              <w:t>ilník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dle </w:t>
            </w:r>
            <w:r>
              <w:rPr>
                <w:sz w:val="16"/>
              </w:rPr>
              <w:t xml:space="preserve">Harmonogramu plnění Díla dle přílohy č. 5 </w:t>
            </w:r>
            <w:r w:rsidRPr="00BF6DF2">
              <w:rPr>
                <w:sz w:val="16"/>
              </w:rPr>
              <w:t>SOD</w:t>
            </w:r>
            <w:r>
              <w:rPr>
                <w:sz w:val="16"/>
              </w:rPr>
              <w:t>.</w:t>
            </w:r>
          </w:p>
          <w:p w:rsidR="003B09F4" w:rsidRPr="00511843" w:rsidRDefault="00A358FD" w:rsidP="00A358F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Funkcionality CDE budou využité pro propojení PHD se pozvánkami a zápisy s výše uvedených činností.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A358FD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B189E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F80921" w:rsidRDefault="002B189E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B189E" w:rsidRDefault="002B189E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4029E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</w:t>
            </w:r>
            <w:r>
              <w:rPr>
                <w:sz w:val="16"/>
              </w:rPr>
              <w:t xml:space="preserve">pro práci v CDE (dále také Manuál CDE) </w:t>
            </w:r>
            <w:r w:rsidRPr="0055082D">
              <w:rPr>
                <w:sz w:val="16"/>
              </w:rPr>
              <w:t xml:space="preserve">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 xml:space="preserve"> na zpracování díla v režimu BIM</w:t>
            </w:r>
            <w:r w:rsidRPr="0055082D">
              <w:rPr>
                <w:sz w:val="16"/>
              </w:rPr>
              <w:t>.</w:t>
            </w:r>
            <w:r>
              <w:rPr>
                <w:sz w:val="16"/>
              </w:rPr>
              <w:t xml:space="preserve"> Manuál CDE bude vytvořen jak ve formě popisné </w:t>
            </w:r>
            <w:r w:rsidRPr="0055082D">
              <w:rPr>
                <w:sz w:val="16"/>
              </w:rPr>
              <w:t>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tak ve formě výukového videa, které bude na principu práce ve fiktivní stavbě uvádět postupné kroky pro práci v CDE</w:t>
            </w:r>
          </w:p>
          <w:p w:rsidR="00F4029E" w:rsidRPr="009F4AD2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Požadavky na provedení školení: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 xml:space="preserve">školení bude provedeno výukovou praktickou formou tak, aby se školený mohl ze své pracovní stanice přihlásit do prostředí CDE a ve virtuální stavbě provádět úkony pro práci CDE, 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Manuál CDE ve formě PDF, a to nejpozději 3 pracovní dny před zahájením školení,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po ukončení školení školící video</w:t>
            </w:r>
            <w:r>
              <w:rPr>
                <w:sz w:val="16"/>
              </w:rPr>
              <w:t xml:space="preserve"> (ne záznam ze školení)</w:t>
            </w:r>
            <w:r w:rsidRPr="009F4AD2">
              <w:rPr>
                <w:sz w:val="16"/>
              </w:rPr>
              <w:t xml:space="preserve"> a současně zachová přístup do výukové virtuální stavby pro umožnění procvičování práce v CDE.</w:t>
            </w:r>
          </w:p>
          <w:p w:rsidR="007876B7" w:rsidRPr="00511843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Objednatel předpokládá provést proškolení ze strany Zhotovitele v</w:t>
            </w:r>
            <w:r>
              <w:rPr>
                <w:sz w:val="16"/>
              </w:rPr>
              <w:t>e</w:t>
            </w:r>
            <w:r w:rsidRPr="009F4AD2">
              <w:rPr>
                <w:sz w:val="16"/>
              </w:rPr>
              <w:t xml:space="preserve">  </w:t>
            </w:r>
            <w:r w:rsidRPr="002D2AEE">
              <w:rPr>
                <w:sz w:val="16"/>
              </w:rPr>
              <w:t>třech</w:t>
            </w:r>
            <w:r w:rsidRPr="009F4AD2">
              <w:rPr>
                <w:sz w:val="16"/>
              </w:rPr>
              <w:t xml:space="preserve"> předem dohodnutých termínech</w:t>
            </w:r>
            <w:r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5D7DF1" w:rsidRDefault="00F402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2B189E">
              <w:rPr>
                <w:sz w:val="16"/>
                <w:szCs w:val="14"/>
              </w:rPr>
              <w:t>5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4029E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Využití funkcionalit CDE pro propojení DiMS s IMS v rozsahu odkazů na: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Dokumentaci stavby (např. 2D dokumentace),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podklady pro zpracování Díla (archivní dokumentace, fotodokumentace,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pozvánky a záznamy z porad (viz Cíl 1.3)</w:t>
            </w:r>
          </w:p>
          <w:p w:rsidR="003B09F4" w:rsidRPr="00186A7F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vyjádření k zpracování Díla, případně jiné dokumenty přímo vázané k Dílu.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F402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</w:tbl>
    <w:p w:rsidR="00742173" w:rsidRDefault="00742173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837696" w:rsidRDefault="00837696" w:rsidP="0083769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837696">
              <w:rPr>
                <w:sz w:val="16"/>
              </w:rPr>
              <w:t>Zpracování dílčího DiMS stávajícího stavu bude provedené v takovém rozsahu a podrobnosti, aby bylo možné v dílčích modelech jednotlivých profesních specializací vytvořit modelaci výkopových případně razících terénních úprav v rozsahu stavbou dotčeného území. V případě, že je součástí projektu i průzkum geologického podloží, bude do samostatného DiMS zapracován průběh geologických podkladních vrstev, zejména předpokládaný průběh skalního podloží a hladiny spodní vody (DiMS geologický průzkum).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823769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823769" w:rsidRPr="00F80921" w:rsidRDefault="00823769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823769" w:rsidRDefault="0053257C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7631A" w:rsidRDefault="0053257C" w:rsidP="0053257C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>Ověření dostatečnosti zaměření stávajícího stavu předaného Objednatelem</w:t>
            </w:r>
            <w:r w:rsidR="0047631A">
              <w:rPr>
                <w:sz w:val="16"/>
              </w:rPr>
              <w:t xml:space="preserve"> z hlediska modelace DiMS Stávající stav za dodržení následujících pravidel: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m</w:t>
            </w:r>
            <w:r w:rsidR="0053257C" w:rsidRPr="0047631A">
              <w:rPr>
                <w:sz w:val="16"/>
              </w:rPr>
              <w:t>odelace stávajícího stavu u pozemních staveb ve vzdálenosti min. 5 m</w:t>
            </w:r>
            <w:r w:rsidRPr="0047631A">
              <w:rPr>
                <w:sz w:val="16"/>
              </w:rPr>
              <w:t xml:space="preserve"> od navrhovaného nové stavu</w:t>
            </w:r>
          </w:p>
          <w:p w:rsidR="0053257C" w:rsidRPr="00377EB2" w:rsidRDefault="0047631A" w:rsidP="0047631A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pro n</w:t>
            </w:r>
            <w:r w:rsidR="0053257C" w:rsidRPr="0047631A">
              <w:rPr>
                <w:sz w:val="16"/>
              </w:rPr>
              <w:t xml:space="preserve">apojení na infrastrukturu min 5 m do stávajícího </w:t>
            </w:r>
            <w:r w:rsidRPr="0047631A">
              <w:rPr>
                <w:sz w:val="16"/>
              </w:rPr>
              <w:t xml:space="preserve">stavu </w:t>
            </w:r>
            <w:r w:rsidRPr="00377EB2">
              <w:rPr>
                <w:sz w:val="16"/>
              </w:rPr>
              <w:t>nezasažené konstrukce</w:t>
            </w:r>
            <w:r w:rsidR="0053257C" w:rsidRPr="00377EB2">
              <w:rPr>
                <w:sz w:val="16"/>
              </w:rPr>
              <w:t xml:space="preserve"> </w:t>
            </w:r>
          </w:p>
          <w:p w:rsidR="00823769" w:rsidRPr="00F535CA" w:rsidRDefault="00377EB2" w:rsidP="00377EB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377EB2">
              <w:rPr>
                <w:sz w:val="16"/>
              </w:rPr>
              <w:t>Uvedené ustanovení není nutno dodržet pouze v případech uvedených v bodu Cíl 2.4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3769" w:rsidRPr="00F535CA" w:rsidRDefault="0053257C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823769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823769" w:rsidRPr="00F80921" w:rsidRDefault="00823769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823769" w:rsidRDefault="0053257C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3257C" w:rsidRDefault="0053257C" w:rsidP="0053257C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Prověření dostatečnosti rozsahu požadovaných elementů pro stávající stav dle </w:t>
            </w:r>
            <w:r w:rsidRPr="00A703A2">
              <w:rPr>
                <w:sz w:val="16"/>
              </w:rPr>
              <w:t>Přílohy A - Datová struktura – BIM Protokolu</w:t>
            </w:r>
            <w:r>
              <w:rPr>
                <w:sz w:val="16"/>
              </w:rPr>
              <w:t>. Požadované elementy pro stávající stav: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nezpevněný terén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zpevněný terén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stavby (nemovitosti)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objekty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vegetace</w:t>
            </w:r>
          </w:p>
          <w:p w:rsidR="0047631A" w:rsidRDefault="0047631A" w:rsidP="0047631A">
            <w:pPr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N-leté průtoky Q100, Q50, Q10</w:t>
            </w:r>
          </w:p>
          <w:p w:rsidR="0053257C" w:rsidRDefault="0053257C" w:rsidP="0047631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budou prověřené ve vazbě na rozsah požadovaných vlastností z hlediska následujících užití: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technického řešení nového stavu,</w:t>
            </w:r>
            <w:r w:rsidR="0047631A">
              <w:rPr>
                <w:sz w:val="16"/>
              </w:rPr>
              <w:t xml:space="preserve"> </w:t>
            </w:r>
            <w:r>
              <w:rPr>
                <w:sz w:val="16"/>
              </w:rPr>
              <w:t>(např. při využití stáv. konstrukcí),</w:t>
            </w:r>
          </w:p>
          <w:p w:rsidR="0053257C" w:rsidRPr="0041034D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prostorová koordinace stavby,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harmonogram výstavby, stavební postupy,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ocenění stavby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nakládání s odpady a využití stávající hmot, materiálu a konstrukcí </w:t>
            </w:r>
            <w:r>
              <w:rPr>
                <w:sz w:val="16"/>
              </w:rPr>
              <w:br/>
              <w:t>v rámci stavby,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vliv průběhu provádění stavby na životní prostředí,</w:t>
            </w:r>
          </w:p>
          <w:p w:rsidR="00823769" w:rsidRPr="0047631A" w:rsidRDefault="0053257C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vytvoření plánu krizových a havarijních situací v průběhu realizace stavby,</w:t>
            </w:r>
          </w:p>
          <w:p w:rsidR="0047631A" w:rsidRPr="00F535C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provizorní stavy v průběhu provádění stacby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3769" w:rsidRPr="00F535CA" w:rsidRDefault="00823769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</w:p>
        </w:tc>
      </w:tr>
      <w:tr w:rsidR="00597693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597693" w:rsidRPr="00F80921" w:rsidRDefault="00597693" w:rsidP="00597693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97693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r>
              <w:rPr>
                <w:sz w:val="16"/>
              </w:rPr>
              <w:t>DiMS</w:t>
            </w:r>
            <w:r w:rsidRPr="00F535CA">
              <w:rPr>
                <w:sz w:val="16"/>
              </w:rPr>
              <w:t xml:space="preserve"> stávajícího stavu inženýrských sítí </w:t>
            </w:r>
            <w:r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>
              <w:rPr>
                <w:sz w:val="16"/>
              </w:rPr>
              <w:t xml:space="preserve">V DiMS stávajících sítí bude ze strany Zhotovitele </w:t>
            </w:r>
          </w:p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navržen způsob rozlišení přesností podkladů od správců dotčených sítí, tak aby bylo možné efektivně provést detekci kolizí v maximální možné míře pomocí SW nástrojů.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7693" w:rsidRPr="00F535CA" w:rsidRDefault="00597693" w:rsidP="0059769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597693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97693" w:rsidRPr="00F80921" w:rsidRDefault="00597693" w:rsidP="00597693">
            <w:pPr>
              <w:spacing w:before="0" w:line="300" w:lineRule="auto"/>
            </w:pP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Modelace stávajícího stavu a </w:t>
            </w:r>
            <w:r w:rsidRPr="00377EB2">
              <w:rPr>
                <w:sz w:val="16"/>
              </w:rPr>
              <w:t xml:space="preserve">stávajících sítí, zasahujících mimo oblast stavby (například v případě přípojek kabelových tras samostatně vedených z důvodu napojení na technická a technologická zařízení mimo oblast stavby) Objednatel </w:t>
            </w:r>
            <w:r>
              <w:rPr>
                <w:sz w:val="16"/>
              </w:rPr>
              <w:t>se nevyžaduje, avšak k</w:t>
            </w:r>
            <w:r w:rsidRPr="00377EB2">
              <w:rPr>
                <w:sz w:val="16"/>
              </w:rPr>
              <w:t xml:space="preserve">aždý takovýto případ musí být projednán a odsouhlasen Objednatelem.   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7693" w:rsidRPr="00F535CA" w:rsidRDefault="00597693" w:rsidP="0059769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</w:tbl>
    <w:p w:rsidR="00E801BC" w:rsidRDefault="00E801BC" w:rsidP="0047631A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708"/>
        <w:gridCol w:w="142"/>
        <w:gridCol w:w="6804"/>
        <w:gridCol w:w="85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65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r w:rsidR="00E801BC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průběžně a společně s ostatními části Díla dle Harmonogramu plnění.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 w:rsidR="00B3702B"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r w:rsidR="00CD7B2A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dle Přílohy A - Datová struktura – BIM Protokolu.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EE4F0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EE4F08">
              <w:rPr>
                <w:sz w:val="16"/>
              </w:rPr>
              <w:t>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</w:t>
            </w:r>
            <w:r w:rsidR="00CD7B2A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spočívá v členění na skupiny elementů, elementy, skupiny vlastností a vlastnosti. </w:t>
            </w:r>
            <w:r>
              <w:rPr>
                <w:sz w:val="16"/>
              </w:rPr>
              <w:t xml:space="preserve">Zhotovitel </w:t>
            </w:r>
            <w:r w:rsidR="00B72C43">
              <w:rPr>
                <w:sz w:val="16"/>
              </w:rPr>
              <w:t>může, navrhnou</w:t>
            </w:r>
            <w:r>
              <w:rPr>
                <w:sz w:val="16"/>
              </w:rPr>
              <w:t xml:space="preserve"> </w:t>
            </w:r>
            <w:r w:rsidR="00B72C43">
              <w:rPr>
                <w:sz w:val="16"/>
              </w:rPr>
              <w:t>doplnění chybějících elementů, přičemž úpravu projedná</w:t>
            </w:r>
            <w:r>
              <w:rPr>
                <w:sz w:val="16"/>
              </w:rPr>
              <w:t xml:space="preserve"> </w:t>
            </w:r>
            <w:r w:rsidR="00B72C43">
              <w:rPr>
                <w:sz w:val="16"/>
              </w:rPr>
              <w:t xml:space="preserve">s </w:t>
            </w:r>
            <w:r w:rsidR="00B72C43" w:rsidRPr="00A703A2">
              <w:rPr>
                <w:sz w:val="16"/>
              </w:rPr>
              <w:t xml:space="preserve">Objednatelem </w:t>
            </w:r>
            <w:r w:rsidRPr="00A703A2">
              <w:rPr>
                <w:sz w:val="16"/>
              </w:rPr>
              <w:t xml:space="preserve">před zapracováním do </w:t>
            </w:r>
            <w:r w:rsidR="006C3F22">
              <w:rPr>
                <w:sz w:val="16"/>
              </w:rPr>
              <w:t>DiMS</w:t>
            </w:r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3.7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B72C43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rozsahu dílčích DiMS. Přesné zařazení jednotlivých objektů (SO/PS) dle objektové skladby do dílčích DiMS musí být přehledně uvedeno v BEP.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3.8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DiMS (sDiMS)</w:t>
            </w:r>
            <w:r w:rsidR="00B72C43">
              <w:rPr>
                <w:sz w:val="16"/>
              </w:rPr>
              <w:t>, přičemž označení a přesný popis obsahové náplně musí být uvedeno v BEM.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3.9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511843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Vytváření výkresové dokumentace z modelů, tj. základní technické a koncepční parametry výkresové dokumentace budou odpovídat DiMS.</w:t>
            </w:r>
          </w:p>
          <w:p w:rsidR="00B72C43" w:rsidRDefault="00FC4E82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Geometrie výkresů bude v maximální možné míře generována z DiMS.</w:t>
            </w:r>
          </w:p>
          <w:p w:rsidR="00FC4E82" w:rsidRPr="00A703A2" w:rsidRDefault="008518FA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 BEP bude u seznamu objektů/části objektů, provedeno označení příloh, které jsou generované z 3D modelu.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3.10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3.13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Zapracování výsledků průzkumů do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  <w:tcBorders>
              <w:bottom w:val="single" w:sz="2" w:space="0" w:color="auto"/>
            </w:tcBorders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B7D0F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</w:t>
            </w:r>
            <w:r w:rsidR="004B7D0F">
              <w:rPr>
                <w:sz w:val="16"/>
              </w:rPr>
              <w:t xml:space="preserve">interního předpisu SŽ </w:t>
            </w:r>
            <w:r w:rsidR="00A2695E">
              <w:rPr>
                <w:sz w:val="16"/>
              </w:rPr>
              <w:t xml:space="preserve">Přílohy č.10 </w:t>
            </w:r>
            <w:r w:rsidR="004B7D0F">
              <w:rPr>
                <w:sz w:val="16"/>
              </w:rPr>
              <w:t xml:space="preserve"> SŽ SM011 Dokumentace staveb Správy železnic, státní organizace </w:t>
            </w:r>
            <w:r w:rsidRPr="00511843">
              <w:rPr>
                <w:sz w:val="16"/>
              </w:rPr>
              <w:t>Aplikace systému jednotného kódování všech příloh, dle požadavk</w:t>
            </w:r>
            <w:r w:rsidR="004B7D0F">
              <w:rPr>
                <w:sz w:val="16"/>
              </w:rPr>
              <w:t>u uvedené směrnice a na základě metadat jednotlivých souborů umožnit v rámci CDE propojení DiMS s 2D dokumentací stavby.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61677" w:rsidRPr="00B46D03" w:rsidRDefault="00361677" w:rsidP="0099545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61677" w:rsidRPr="00F80921" w:rsidRDefault="00361677" w:rsidP="00995453">
            <w:pPr>
              <w:spacing w:before="0" w:line="300" w:lineRule="auto"/>
            </w:pPr>
          </w:p>
        </w:tc>
        <w:tc>
          <w:tcPr>
            <w:tcW w:w="765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vAlign w:val="center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61677" w:rsidRPr="00F80921" w:rsidRDefault="00361677" w:rsidP="00995453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361677" w:rsidRPr="009C7634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61677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Prověř</w:t>
            </w:r>
            <w:r>
              <w:rPr>
                <w:sz w:val="16"/>
              </w:rPr>
              <w:t>ení</w:t>
            </w:r>
            <w:r w:rsidRPr="00117545">
              <w:rPr>
                <w:sz w:val="16"/>
              </w:rPr>
              <w:t xml:space="preserve"> požadavk</w:t>
            </w:r>
            <w:r>
              <w:rPr>
                <w:sz w:val="16"/>
              </w:rPr>
              <w:t>ů</w:t>
            </w:r>
            <w:r w:rsidRPr="00117545">
              <w:rPr>
                <w:sz w:val="16"/>
              </w:rPr>
              <w:t xml:space="preserve"> na modelaci provizorních stavů s hlediska časového pl</w:t>
            </w:r>
            <w:r>
              <w:rPr>
                <w:sz w:val="16"/>
              </w:rPr>
              <w:t>ánování 4D. Zhotovitel provede</w:t>
            </w:r>
            <w:r w:rsidRPr="00117545">
              <w:rPr>
                <w:sz w:val="16"/>
              </w:rPr>
              <w:t xml:space="preserve"> návrh</w:t>
            </w:r>
            <w:r>
              <w:rPr>
                <w:sz w:val="16"/>
              </w:rPr>
              <w:t xml:space="preserve"> modelace elementů </w:t>
            </w:r>
            <w:r w:rsidRPr="00117545">
              <w:rPr>
                <w:sz w:val="16"/>
              </w:rPr>
              <w:t>a min. požadovaných vlastností, provizorní</w:t>
            </w:r>
            <w:r>
              <w:rPr>
                <w:sz w:val="16"/>
              </w:rPr>
              <w:t xml:space="preserve"> u provizorních konstrukcí potřebných z hlediska:</w:t>
            </w:r>
          </w:p>
          <w:p w:rsidR="00361677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tvorbu jízdních řádů</w:t>
            </w:r>
            <w:r>
              <w:rPr>
                <w:sz w:val="16"/>
              </w:rPr>
              <w:t>, organizace výstavby</w:t>
            </w:r>
            <w:r w:rsidRPr="00117545">
              <w:rPr>
                <w:sz w:val="16"/>
              </w:rPr>
              <w:t xml:space="preserve"> (</w:t>
            </w:r>
            <w:r>
              <w:rPr>
                <w:sz w:val="16"/>
              </w:rPr>
              <w:t>např. provizorní spojky, provizorní zab.zař apod.</w:t>
            </w:r>
            <w:r w:rsidRPr="00117545">
              <w:rPr>
                <w:sz w:val="16"/>
              </w:rPr>
              <w:t>)</w:t>
            </w:r>
          </w:p>
          <w:p w:rsidR="00361677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dočasných konstrukcí užívaných třetí stranou (provizorní nástupiště, provizorní přechody apod.)</w:t>
            </w:r>
          </w:p>
          <w:p w:rsidR="00361677" w:rsidRPr="00117545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provizorních konstrukcí zásadně ovlivňující náklady stavba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3B09F4" w:rsidRDefault="003B09F4" w:rsidP="003B09F4"/>
    <w:p w:rsidR="00361677" w:rsidRDefault="00361677" w:rsidP="003B09F4"/>
    <w:p w:rsidR="00361677" w:rsidRDefault="00361677" w:rsidP="003B09F4"/>
    <w:p w:rsidR="00361677" w:rsidRDefault="00361677" w:rsidP="003B09F4"/>
    <w:p w:rsidR="00361677" w:rsidRDefault="00361677" w:rsidP="003B09F4"/>
    <w:p w:rsidR="00361677" w:rsidRDefault="00361677">
      <w:r>
        <w:br w:type="page"/>
      </w:r>
    </w:p>
    <w:tbl>
      <w:tblPr>
        <w:tblStyle w:val="Mkatabulky"/>
        <w:tblW w:w="9010" w:type="dxa"/>
        <w:tblLayout w:type="fixed"/>
        <w:tblLook w:val="04A0" w:firstRow="1" w:lastRow="0" w:firstColumn="1" w:lastColumn="0" w:noHBand="0" w:noVBand="1"/>
      </w:tblPr>
      <w:tblGrid>
        <w:gridCol w:w="505"/>
        <w:gridCol w:w="708"/>
        <w:gridCol w:w="6946"/>
        <w:gridCol w:w="851"/>
      </w:tblGrid>
      <w:tr w:rsidR="00A716D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A716D4" w:rsidRPr="008A5F0D" w:rsidRDefault="00A716D4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F007D1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  <w:r w:rsidR="00F007D1">
              <w:rPr>
                <w:sz w:val="16"/>
              </w:rPr>
              <w:t>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 xml:space="preserve">Vypracování </w:t>
            </w:r>
            <w:r w:rsidR="00117545">
              <w:rPr>
                <w:rFonts w:asciiTheme="minorHAnsi" w:hAnsiTheme="minorHAnsi"/>
                <w:b/>
                <w:sz w:val="16"/>
              </w:rPr>
              <w:t>Závěrečné hodnotící</w:t>
            </w:r>
            <w:r w:rsidRPr="008A5F0D">
              <w:rPr>
                <w:rFonts w:asciiTheme="minorHAnsi" w:hAnsiTheme="minorHAnsi"/>
                <w:b/>
                <w:sz w:val="16"/>
              </w:rPr>
              <w:t xml:space="preserve"> zprávy v rozsahu: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souhrn </w:t>
            </w:r>
            <w:r w:rsidR="00117545">
              <w:rPr>
                <w:rFonts w:asciiTheme="minorHAnsi" w:hAnsiTheme="minorHAnsi"/>
                <w:sz w:val="15"/>
                <w:szCs w:val="15"/>
              </w:rPr>
              <w:t>doplnění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 Datové struktury proti příloze A – BIM Protokolu, v rozsahu základného členění a stručného zdůvodnění uvedených </w:t>
            </w:r>
            <w:r w:rsidR="00117545">
              <w:rPr>
                <w:rFonts w:asciiTheme="minorHAnsi" w:hAnsiTheme="minorHAnsi"/>
                <w:sz w:val="15"/>
                <w:szCs w:val="15"/>
              </w:rPr>
              <w:t>potřeb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A716D4" w:rsidRPr="00943B64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F007D1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  <w:r w:rsidR="00F007D1">
              <w:rPr>
                <w:sz w:val="16"/>
              </w:rPr>
              <w:t>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43B64" w:rsidRDefault="00A716D4" w:rsidP="00E45545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</w:t>
            </w:r>
            <w:r>
              <w:rPr>
                <w:sz w:val="16"/>
              </w:rPr>
              <w:t>_Personální_obsazení.xlsx</w:t>
            </w:r>
            <w:r w:rsidRPr="009C7634">
              <w:rPr>
                <w:sz w:val="16"/>
              </w:rPr>
              <w:t>, a to dle požadavků na odpovědnost a náplň činnosti jednotlivých členů týmu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07D1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007D1" w:rsidRPr="00F80921" w:rsidRDefault="00F007D1" w:rsidP="00F007D1">
            <w:pPr>
              <w:spacing w:before="0" w:line="300" w:lineRule="auto"/>
            </w:pPr>
          </w:p>
        </w:tc>
        <w:tc>
          <w:tcPr>
            <w:tcW w:w="708" w:type="dxa"/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Veškeré dílčí DiMS</w:t>
            </w:r>
            <w:r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F007D1" w:rsidRPr="00943B6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"namapování"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F007D1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007D1" w:rsidRPr="00F80921" w:rsidRDefault="00F007D1" w:rsidP="00F007D1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5.4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750BD" w:rsidRPr="00D750BD" w:rsidRDefault="00D750BD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Vypracování prezentačních a propagačních materiálů:</w:t>
            </w:r>
          </w:p>
          <w:p w:rsidR="00F007D1" w:rsidRPr="00D750BD" w:rsidRDefault="00D750BD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 souladu s požadavky VTP a ZTP bude v</w:t>
            </w:r>
            <w:r w:rsidR="00F007D1" w:rsidRPr="00D750BD">
              <w:rPr>
                <w:sz w:val="16"/>
              </w:rPr>
              <w:t>ytvořen prezentačních materiálů, se zaměřením na:</w:t>
            </w:r>
          </w:p>
          <w:p w:rsidR="00F007D1" w:rsidRPr="00D750BD" w:rsidRDefault="00F007D1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a) popis použitých BIM technologií na projektu, </w:t>
            </w:r>
          </w:p>
          <w:p w:rsidR="00F007D1" w:rsidRPr="00D750BD" w:rsidRDefault="00F007D1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b) 3D vizualizace stavby včetně animací klíčových částí projektu,</w:t>
            </w:r>
          </w:p>
          <w:p w:rsidR="00F007D1" w:rsidRPr="00D750BD" w:rsidRDefault="00F007D1" w:rsidP="00F007D1">
            <w:pPr>
              <w:spacing w:before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c) fotodokumentace s vizualizací modelu nového stavu (min. 20 ks) </w:t>
            </w:r>
          </w:p>
          <w:p w:rsidR="00D750BD" w:rsidRPr="00D750BD" w:rsidRDefault="00D750BD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:rsidR="00F007D1" w:rsidRPr="00D750BD" w:rsidRDefault="00D750BD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Nad rámce VTP a ZTP bude vytvořeno </w:t>
            </w:r>
            <w:r w:rsidR="00F007D1" w:rsidRPr="00D750BD">
              <w:rPr>
                <w:sz w:val="16"/>
              </w:rPr>
              <w:t>prezentační videa zahrnující: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prezentaci  DiMS a včetně etapizace důležitých milníků </w:t>
            </w:r>
            <w:r w:rsidRPr="00D750BD">
              <w:rPr>
                <w:sz w:val="16"/>
              </w:rPr>
              <w:br/>
              <w:t xml:space="preserve">      zejména z pohledu zásahů do stávající infrastruktury,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vizualizaci technického řešení do stávajícího terénu a prostor ve kterému bude   </w:t>
            </w:r>
            <w:r w:rsidRPr="00D750BD">
              <w:rPr>
                <w:sz w:val="16"/>
              </w:rPr>
              <w:br/>
              <w:t xml:space="preserve">       stavba umístěná,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krátká videa (do 1 min) určená jako upoutávka pro sociální sítě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sz w:val="16"/>
              </w:rPr>
              <w:t xml:space="preserve">    - krátká videa (do 2 min) pro marketingové účely</w:t>
            </w:r>
          </w:p>
          <w:p w:rsidR="00F007D1" w:rsidRPr="00D750BD" w:rsidRDefault="00F007D1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    </w:t>
            </w:r>
          </w:p>
          <w:p w:rsidR="00F007D1" w:rsidRPr="00D750BD" w:rsidRDefault="00F007D1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(Jednotná pravidla pro tvorbu videa viz    </w:t>
            </w:r>
            <w:hyperlink r:id="rId18" w:history="1">
              <w:r w:rsidRPr="00D750BD">
                <w:rPr>
                  <w:i/>
                  <w:sz w:val="16"/>
                </w:rPr>
                <w:t>https://www.spravazeleznic.cz/kontakty/sprava-webu-a-logomanual</w:t>
              </w:r>
            </w:hyperlink>
            <w:r w:rsidRPr="00D750BD">
              <w:rPr>
                <w:i/>
                <w:sz w:val="16"/>
              </w:rPr>
              <w:t>)</w:t>
            </w:r>
          </w:p>
          <w:p w:rsidR="00F007D1" w:rsidRPr="00D750BD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Vytvořené materiály použije SŽ i pro své webové stránky a na odborných konferencích.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Pr="00B46D03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3B09F4" w:rsidRDefault="003B09F4" w:rsidP="003B09F4">
      <w:pPr>
        <w:pStyle w:val="Text2-1"/>
        <w:numPr>
          <w:ilvl w:val="0"/>
          <w:numId w:val="0"/>
        </w:numPr>
        <w:ind w:left="737"/>
      </w:pP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>, který bude průběžně doplňovat ve vazbě na projednání jednotlivých částí díla Dokumentace a zpracování DiMS. Podrobný harmonogram plnění díla bude tvořit samostatnou přílohu BEP ve formátu xlsx. Přesná struktura Podrobného harmonogramu bude vycházet z Harmonogram plnění uvedený v příloze č. 5 SOD a bude odsouhlasená Objednatelem.</w:t>
      </w:r>
    </w:p>
    <w:p w:rsidR="006006EE" w:rsidRDefault="006006EE" w:rsidP="006006EE">
      <w:pPr>
        <w:pStyle w:val="Text2-1"/>
      </w:pPr>
      <w:r>
        <w:t>Způsob, základní popis řešení jednotlivých cílů bude průběžně doplňován a schvalován v rámci zpracování  BEP.</w:t>
      </w:r>
    </w:p>
    <w:p w:rsidR="003B09F4" w:rsidRDefault="003B09F4" w:rsidP="003B09F4">
      <w:pPr>
        <w:rPr>
          <w:rFonts w:asciiTheme="majorHAnsi" w:hAnsiTheme="majorHAnsi"/>
          <w:b/>
          <w:caps/>
          <w:sz w:val="22"/>
        </w:rPr>
      </w:pPr>
    </w:p>
    <w:p w:rsidR="008058B7" w:rsidRDefault="008058B7">
      <w:pPr>
        <w:rPr>
          <w:sz w:val="22"/>
        </w:rPr>
      </w:pPr>
      <w:r>
        <w:br w:type="page"/>
      </w:r>
    </w:p>
    <w:p w:rsidR="00E52F8E" w:rsidRDefault="00E52F8E" w:rsidP="00FE06F8">
      <w:pPr>
        <w:pStyle w:val="Nadpis2-2"/>
      </w:pPr>
      <w:bookmarkStart w:id="25" w:name="_Toc116892180"/>
      <w:r>
        <w:lastRenderedPageBreak/>
        <w:t>Informačního modelu stavby (IMS)</w:t>
      </w:r>
      <w:bookmarkEnd w:id="25"/>
    </w:p>
    <w:p w:rsidR="00E52F8E" w:rsidRDefault="00E52F8E" w:rsidP="00CB1CD7">
      <w:pPr>
        <w:pStyle w:val="Text2-1"/>
      </w:pPr>
      <w:r>
        <w:t xml:space="preserve">IMS viz definice kap. 2 BIM Protokolu, zahrnuje dokumenty vztahující se ke zpracování Díla v režimu BIM, včetně dokumentace stavby v příslušném stupni zpracování </w:t>
      </w:r>
      <w:r w:rsidR="00127AD9">
        <w:br/>
      </w:r>
      <w:r>
        <w:t>a Digitálního modelu stavby (</w:t>
      </w:r>
      <w:r w:rsidR="00E34425">
        <w:t>DiMS</w:t>
      </w:r>
      <w:r>
        <w:t xml:space="preserve">) </w:t>
      </w:r>
      <w:r w:rsidR="00CB1CD7">
        <w:t xml:space="preserve">který tvoří jednotlivé dílčí </w:t>
      </w:r>
      <w:r w:rsidR="00E34425">
        <w:t>DiMS</w:t>
      </w:r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4.1.1 musí být v CDE dohledatelné.</w:t>
      </w:r>
    </w:p>
    <w:p w:rsidR="003A366B" w:rsidRDefault="003A366B" w:rsidP="003A366B">
      <w:pPr>
        <w:pStyle w:val="Text2-1"/>
      </w:pPr>
      <w:r w:rsidRPr="00140F19">
        <w:t>V případě, že se v DiMS odkazuje na některé části IMS</w:t>
      </w:r>
      <w:r>
        <w:t>,</w:t>
      </w:r>
      <w:r w:rsidRPr="00140F19">
        <w:t xml:space="preserve"> musí být po předání Díla zajištěno zachováni cesty k odkazovaným  souborům nebo složkám.  </w:t>
      </w:r>
    </w:p>
    <w:p w:rsidR="003A366B" w:rsidRDefault="003A366B" w:rsidP="003A366B">
      <w:pPr>
        <w:pStyle w:val="Text2-1"/>
      </w:pPr>
      <w:r>
        <w:t>V dokumentu BEP popíše Zhotovitel způsob zajišťování interní kvality zpracování DiMS včetně validace dat v rozsahu požadavků příloh BIM Protokolu a zejména jednotlivých cílů uvedených EIR.</w:t>
      </w:r>
    </w:p>
    <w:p w:rsidR="00CB1CD7" w:rsidRDefault="00CB1CD7" w:rsidP="00CB1CD7">
      <w:pPr>
        <w:pStyle w:val="Text2-1"/>
      </w:pPr>
      <w:r>
        <w:t>Základní struktura IMS:</w:t>
      </w:r>
    </w:p>
    <w:p w:rsidR="00E30FE8" w:rsidRPr="00E52F8E" w:rsidRDefault="003A366B" w:rsidP="00E30FE8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7A986C76" wp14:editId="4485F3C3">
            <wp:extent cx="5543550" cy="4206874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059EA" w:rsidRDefault="00F059EA">
      <w:pPr>
        <w:rPr>
          <w:sz w:val="22"/>
        </w:rPr>
      </w:pPr>
      <w:r>
        <w:br w:type="page"/>
      </w:r>
    </w:p>
    <w:p w:rsidR="00FE06F8" w:rsidRDefault="00FE06F8" w:rsidP="00FE06F8">
      <w:pPr>
        <w:pStyle w:val="Nadpis2-2"/>
      </w:pPr>
      <w:bookmarkStart w:id="26" w:name="_Toc116892181"/>
      <w:r>
        <w:lastRenderedPageBreak/>
        <w:t>Obecné požadavky na Informační model</w:t>
      </w:r>
      <w:r w:rsidR="00A0368B">
        <w:t xml:space="preserve"> stavby (IMS)</w:t>
      </w:r>
      <w:bookmarkEnd w:id="26"/>
    </w:p>
    <w:p w:rsidR="006C447C" w:rsidRDefault="00AD79F1" w:rsidP="006C447C">
      <w:pPr>
        <w:pStyle w:val="Nadpis2-2"/>
        <w:spacing w:before="240" w:after="120"/>
      </w:pPr>
      <w:bookmarkStart w:id="27" w:name="_Toc116892182"/>
      <w:r>
        <w:t>Digitální informační model stavby (</w:t>
      </w:r>
      <w:r w:rsidR="00E34425">
        <w:t>DiMS</w:t>
      </w:r>
      <w:r>
        <w:t>)</w:t>
      </w:r>
      <w:bookmarkEnd w:id="27"/>
    </w:p>
    <w:p w:rsidR="002A7711" w:rsidRPr="002A7711" w:rsidRDefault="002A7711" w:rsidP="002A7711">
      <w:pPr>
        <w:pStyle w:val="Text2-1"/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>Dílčí DiMS</w:t>
      </w:r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DiMS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>Každý dílčí DiMS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4.4.</w:t>
      </w:r>
      <w:r w:rsidR="008518FA">
        <w:t>12</w:t>
      </w:r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>Sdružené DiMS</w:t>
      </w:r>
      <w:r w:rsidR="00E54BA6">
        <w:rPr>
          <w:b/>
        </w:rPr>
        <w:t xml:space="preserve"> (sDiMS)</w:t>
      </w:r>
      <w:r>
        <w:t xml:space="preserve"> dle členění stavby na úseky nebo dle matice odpovědností, dle postupu výstavby je určen pro náhled na vybranou část DiMS,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DiMS bude projednán s Konzultandem BIM Objednatele. 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>je datový soubor, jehož účelem je vytvoření reprezentanta DiMS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DiMS reprezentovaný dokumentem s názvem </w:t>
      </w:r>
      <w:r w:rsidRPr="0017602D">
        <w:t>Koordinační modelem stavby</w:t>
      </w:r>
      <w:r w:rsidRPr="004665C8">
        <w:t xml:space="preserve"> (dále také Koordinační model). Dílčí DiMS budou provázány s Koordinačním modelem, přičemž po předání Díla Zhotovitel zajistí zachováni cesty k odkazovaným souborům dílčích DiMS.</w:t>
      </w:r>
    </w:p>
    <w:p w:rsidR="000D2E18" w:rsidRDefault="005B0872" w:rsidP="000D2E18">
      <w:pPr>
        <w:pStyle w:val="Text2-1"/>
      </w:pPr>
      <w:r>
        <w:t>Dílčí DiMS</w:t>
      </w:r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DiMS stávajícího stavu bude detailně projednaná s Objednatele a posléze popsaná </w:t>
      </w:r>
      <w:r>
        <w:br/>
        <w:t xml:space="preserve">v BEP. </w:t>
      </w:r>
      <w:r w:rsidR="000D2E18">
        <w:t xml:space="preserve"> </w:t>
      </w:r>
    </w:p>
    <w:p w:rsidR="005B0872" w:rsidRDefault="005B0872" w:rsidP="00902577">
      <w:pPr>
        <w:pStyle w:val="Text2-1"/>
      </w:pPr>
      <w:r>
        <w:t>Rozsah DiMS</w:t>
      </w:r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r>
        <w:t>DiMS</w:t>
      </w:r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DiMS stávajícího stavu převzít stávající 3D údaje o stávajícím stavu z katastrálních dat a zaměření z katastrálního úřadu nebo měst, obcí a vlastníků vedení.</w:t>
      </w:r>
      <w:r w:rsidR="00902577">
        <w:t xml:space="preserve"> U DiMS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t xml:space="preserve">Struktura DiMS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MicroStation.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>
        <w:t>pro stupeň PDPS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lastRenderedPageBreak/>
        <w:t xml:space="preserve">Podrobnost zpracování DiMS bude odpovídat podrobnosti zpracování dokumentace v příslušnou fázi zpracování, v tomto případě PDPS. Grafická podrobnost společně s Datovou strukturou je definovaná v Příloze A. V příloze č. A.5 - Předpis pro informační modelování staveb (BIM) pro stavby dopravní infrastruktury jsou blíže specifikované požadavky na podrobnost zpracování DiMS. Pro danou fázi projektové přípravy se jedná o kapitoly: 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5.2. a 5.3 Specifikace p</w:t>
      </w:r>
      <w:r w:rsidRPr="00C65119">
        <w:t>ožadavk</w:t>
      </w:r>
      <w:r>
        <w:t>ů silničních staveb fáze DSP a PDPS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6</w:t>
      </w:r>
      <w:r w:rsidRPr="00C65119">
        <w:t xml:space="preserve">.2. a </w:t>
      </w:r>
      <w:r>
        <w:t>6</w:t>
      </w:r>
      <w:r w:rsidRPr="00C65119">
        <w:t xml:space="preserve">.3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E54BA6" w:rsidRDefault="00E54BA6"/>
    <w:p w:rsidR="001A1F90" w:rsidRDefault="001A1F90" w:rsidP="001A1F90">
      <w:pPr>
        <w:pStyle w:val="Text2-1"/>
      </w:pPr>
      <w:r>
        <w:t>Schéma DiMS: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sítě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101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Geologický průzkum</w:t>
      </w:r>
      <w:r>
        <w:rPr>
          <w:b/>
          <w:sz w:val="16"/>
        </w:rPr>
        <w:t xml:space="preserve"> 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r w:rsidRPr="00E54BA6">
        <w:rPr>
          <w:i/>
          <w:sz w:val="16"/>
        </w:rPr>
        <w:t>apod</w:t>
      </w:r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Zabezpečovací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Sdělovací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D13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 xml:space="preserve">Silnoproudá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D14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Ostatní technologická zařízení</w:t>
      </w:r>
    </w:p>
    <w:p w:rsidR="00794545" w:rsidRDefault="00794545" w:rsidP="00794545">
      <w:pPr>
        <w:pStyle w:val="Text2-1"/>
      </w:pPr>
      <w:r>
        <w:lastRenderedPageBreak/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521BA2" w:rsidRPr="00521BA2" w:rsidRDefault="00521BA2" w:rsidP="00794545">
      <w:pPr>
        <w:pStyle w:val="Textbezslovn"/>
        <w:spacing w:before="0" w:after="80" w:line="264" w:lineRule="auto"/>
        <w:ind w:left="714"/>
        <w:rPr>
          <w:b/>
          <w:sz w:val="16"/>
        </w:rPr>
      </w:pP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Název DiMS</w:t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Popis</w:t>
      </w:r>
    </w:p>
    <w:p w:rsidR="000F77B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D211_0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Kolejový svršek</w:t>
      </w:r>
    </w:p>
    <w:p w:rsidR="00794545" w:rsidRPr="00A62205" w:rsidRDefault="000F77B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D211_1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>
        <w:rPr>
          <w:b/>
          <w:sz w:val="16"/>
        </w:rPr>
        <w:t xml:space="preserve">Kolejový </w:t>
      </w:r>
      <w:r w:rsidR="00794545" w:rsidRPr="00A62205">
        <w:rPr>
          <w:b/>
          <w:sz w:val="16"/>
        </w:rPr>
        <w:t xml:space="preserve">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Nástupiště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Přejezdy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Mosty,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Zdi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Návěstní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D215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Ostatní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D216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Potrubní vedení</w:t>
      </w:r>
    </w:p>
    <w:p w:rsidR="00794545" w:rsidRPr="00A62205" w:rsidRDefault="00F51783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D217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794545" w:rsidRPr="00A62205">
        <w:rPr>
          <w:b/>
          <w:sz w:val="16"/>
        </w:rPr>
        <w:t>Tunely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D218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Pozemní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D219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Parkovací a a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Kabelovody,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DiMS_Protihlukové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 xml:space="preserve">Pozemní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Zastřešení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Individuální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Orientační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Demolice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D226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Drobná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Trakční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Napájecí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Spínací stanice - stavební část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Ohřev výhybek (elektrický, plynový)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Elektrické předtápěcí zařízení</w:t>
      </w:r>
    </w:p>
    <w:p w:rsidR="009C35F4" w:rsidRDefault="009C35F4" w:rsidP="009C35F4">
      <w:pPr>
        <w:pStyle w:val="Textbezslovn"/>
        <w:numPr>
          <w:ilvl w:val="1"/>
          <w:numId w:val="11"/>
        </w:numPr>
        <w:spacing w:after="80"/>
        <w:contextualSpacing/>
        <w:rPr>
          <w:b/>
          <w:sz w:val="16"/>
        </w:rPr>
      </w:pPr>
      <w:r>
        <w:rPr>
          <w:b/>
          <w:sz w:val="16"/>
        </w:rPr>
        <w:t>DiMS_D236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9C35F4">
        <w:rPr>
          <w:b/>
          <w:sz w:val="16"/>
        </w:rPr>
        <w:t xml:space="preserve">Rozvody vysokého napětí, nízkého napětí, </w:t>
      </w:r>
    </w:p>
    <w:p w:rsidR="009C35F4" w:rsidRPr="00A62205" w:rsidRDefault="009C35F4" w:rsidP="009C35F4">
      <w:pPr>
        <w:pStyle w:val="Textbezslovn"/>
        <w:spacing w:after="80"/>
        <w:ind w:left="3567" w:firstLine="687"/>
        <w:contextualSpacing/>
        <w:rPr>
          <w:b/>
          <w:sz w:val="16"/>
        </w:rPr>
      </w:pPr>
      <w:r w:rsidRPr="009C35F4">
        <w:rPr>
          <w:b/>
          <w:sz w:val="16"/>
        </w:rPr>
        <w:t>osvětlení a dálkové ovládání</w:t>
      </w:r>
      <w:r>
        <w:rPr>
          <w:b/>
          <w:sz w:val="16"/>
        </w:rPr>
        <w:t xml:space="preserve"> </w:t>
      </w:r>
      <w:r w:rsidRPr="009C35F4">
        <w:rPr>
          <w:b/>
          <w:sz w:val="16"/>
        </w:rPr>
        <w:t>odpojovačů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7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Ukolejnění kovových konstrukcí</w:t>
      </w:r>
    </w:p>
    <w:p w:rsidR="004352D0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8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Vnější uzemnění</w:t>
      </w:r>
    </w:p>
    <w:p w:rsidR="004352D0" w:rsidRPr="004352D0" w:rsidRDefault="004352D0" w:rsidP="004352D0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>
        <w:rPr>
          <w:b/>
          <w:sz w:val="16"/>
        </w:rPr>
        <w:t>DiMS_D239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4352D0">
        <w:rPr>
          <w:b/>
          <w:sz w:val="16"/>
        </w:rPr>
        <w:t>Ostatní kabelizace</w:t>
      </w:r>
      <w:r>
        <w:rPr>
          <w:b/>
          <w:sz w:val="16"/>
        </w:rPr>
        <w:tab/>
      </w:r>
      <w:r>
        <w:rPr>
          <w:b/>
          <w:sz w:val="16"/>
        </w:rPr>
        <w:tab/>
      </w:r>
      <w:r w:rsidR="00794545" w:rsidRPr="00A62205">
        <w:rPr>
          <w:b/>
          <w:sz w:val="16"/>
        </w:rPr>
        <w:t xml:space="preserve">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794545" w:rsidRDefault="00794545" w:rsidP="00F7762A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F7762A">
        <w:rPr>
          <w:b/>
          <w:sz w:val="16"/>
        </w:rPr>
        <w:t>D241</w:t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 w:rsidRPr="00F7762A">
        <w:rPr>
          <w:b/>
          <w:sz w:val="16"/>
        </w:rPr>
        <w:t>Příprava území a kácení</w:t>
      </w:r>
    </w:p>
    <w:p w:rsidR="0082432F" w:rsidRDefault="0082432F" w:rsidP="0082432F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>
        <w:rPr>
          <w:b/>
          <w:sz w:val="16"/>
        </w:rPr>
        <w:t>D242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82432F">
        <w:rPr>
          <w:b/>
          <w:sz w:val="16"/>
        </w:rPr>
        <w:t>Náhradní výsadba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82432F">
        <w:rPr>
          <w:b/>
          <w:sz w:val="16"/>
        </w:rPr>
        <w:t>D243</w:t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Pr="00A62205">
        <w:rPr>
          <w:b/>
          <w:sz w:val="16"/>
        </w:rPr>
        <w:t>Zabezpečení veřejných zájmů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Bpv. Výkresy musí být vytvořeny v souřadnicovém systému ve 3. kvadrantu ( -Y, -X). Souřadnice –X ve výkresu odpovídá souřadnici Y v S-JTSK a souřadnice –Y výkresu odpovídá souřadnici X v S-JTSK. Lokální systémy jsou nepřípustné. Data určující souřadnicový systém jsou zapsány v rámci třídy IfcCoordinateReferenceSystem její podtřídy IfcProjectedCRS. </w:t>
      </w:r>
    </w:p>
    <w:p w:rsidR="008058B7" w:rsidRDefault="008058B7">
      <w:r>
        <w:br w:type="page"/>
      </w:r>
    </w:p>
    <w:p w:rsidR="00262D76" w:rsidRDefault="00262D76" w:rsidP="00FE424D">
      <w:pPr>
        <w:pStyle w:val="Text2-1"/>
      </w:pPr>
      <w:r>
        <w:lastRenderedPageBreak/>
        <w:t>Doplňující požadavky</w:t>
      </w:r>
      <w:r w:rsidR="00677EA4">
        <w:t xml:space="preserve"> k tvorbě DiMS</w:t>
      </w:r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bude v metrickém systému, jednotkách SI. (základní jednotka je metr). V případě, že bude </w:t>
      </w:r>
      <w:r>
        <w:t>DiMS</w:t>
      </w:r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r w:rsidR="00632EAA">
        <w:t>DiMS</w:t>
      </w:r>
      <w:r w:rsidR="00262D76">
        <w:t xml:space="preserve"> stavby i dílčí </w:t>
      </w:r>
      <w:r>
        <w:t>DiMS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DiMS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r w:rsidR="000B6F7B" w:rsidRPr="000B6F7B">
        <w:t>DiMS</w:t>
      </w:r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Jednotlivé dílčí DiMS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r w:rsidR="00632EAA">
        <w:t>DiMS</w:t>
      </w:r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>informací reprezentovaným DiMS</w:t>
      </w:r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r w:rsidR="00EB5207" w:rsidRPr="00162515">
        <w:t>E_Manuál pro strukturu dokumentace a popisové pole</w:t>
      </w:r>
      <w:r w:rsidR="00535230">
        <w:t>.</w:t>
      </w:r>
      <w:bookmarkStart w:id="28" w:name="_Ref24089821"/>
      <w:bookmarkEnd w:id="5"/>
      <w:bookmarkEnd w:id="6"/>
      <w:bookmarkEnd w:id="7"/>
      <w:bookmarkEnd w:id="8"/>
      <w:bookmarkEnd w:id="9"/>
      <w:bookmarkEnd w:id="12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9" w:name="_Toc116892183"/>
      <w:r w:rsidRPr="004727CC">
        <w:lastRenderedPageBreak/>
        <w:t xml:space="preserve">Struktura </w:t>
      </w:r>
      <w:r>
        <w:t>společného datového</w:t>
      </w:r>
      <w:bookmarkEnd w:id="29"/>
      <w:r>
        <w:t xml:space="preserve"> </w:t>
      </w:r>
      <w:bookmarkEnd w:id="28"/>
    </w:p>
    <w:p w:rsidR="003B493B" w:rsidRPr="00D61CCA" w:rsidRDefault="003B493B" w:rsidP="003B493B">
      <w:pPr>
        <w:pStyle w:val="Nadpis2-2"/>
        <w:spacing w:before="240" w:after="120"/>
      </w:pPr>
      <w:bookmarkStart w:id="30" w:name="_Toc116892184"/>
      <w:r>
        <w:t>Základní požadavky</w:t>
      </w:r>
      <w:bookmarkEnd w:id="30"/>
    </w:p>
    <w:p w:rsidR="00E34425" w:rsidRPr="006006EE" w:rsidRDefault="00E34425" w:rsidP="006C5744">
      <w:pPr>
        <w:pStyle w:val="Text2-1"/>
      </w:pPr>
      <w:bookmarkStart w:id="31" w:name="_Toc79761485"/>
      <w:r w:rsidRPr="006006EE">
        <w:t xml:space="preserve">Společné datové prostředí (CDE) zajistí Zhotovitel.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1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E34425" w:rsidRDefault="00E34425" w:rsidP="006C5744">
      <w:pPr>
        <w:pStyle w:val="Text2-1"/>
      </w:pPr>
      <w:bookmarkStart w:id="32" w:name="_Toc79761486"/>
      <w:r w:rsidRPr="00004A5B">
        <w:t>Informace v CDE budou zahrnovat veškeré dokumenty (např. 3D modely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2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CC2B4A">
        <w:t xml:space="preserve">zpracování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 xml:space="preserve">dílčí odsouhlasené technické řešení stavby nebo její části. </w:t>
      </w:r>
    </w:p>
    <w:p w:rsidR="00E34425" w:rsidRPr="00004A5B" w:rsidRDefault="00E34425" w:rsidP="006C5744">
      <w:pPr>
        <w:pStyle w:val="Text2-1"/>
      </w:pPr>
      <w:bookmarkStart w:id="33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3"/>
    </w:p>
    <w:p w:rsidR="00E34425" w:rsidRPr="00004A5B" w:rsidRDefault="00E34425" w:rsidP="006C5744">
      <w:pPr>
        <w:pStyle w:val="Text2-1"/>
      </w:pPr>
      <w:bookmarkStart w:id="34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4"/>
    </w:p>
    <w:p w:rsidR="006C5744" w:rsidRDefault="006C5744" w:rsidP="006C5744">
      <w:pPr>
        <w:pStyle w:val="Text2-1"/>
      </w:pPr>
      <w:r>
        <w:t>Architektura datového prostředí CDE musí být proveden tak, aby v rámci CDE nedocházelo k duplicitám uložených dat. Základní struktura CDE vychází prioritně ze struktury dokumentace a činností související s přípravou a zpracováním a dokumentace tak, aby byl v CDE zachycen celý proces zpracování a projednání Díla.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5" w:name="_Toc116892185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r w:rsidR="003B493B" w:rsidRPr="00B14A49">
        <w:t xml:space="preserve"> </w:t>
      </w:r>
      <w:r w:rsidR="003B493B">
        <w:t>v CDE</w:t>
      </w:r>
      <w:bookmarkEnd w:id="35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261806" w:rsidRPr="00261806">
        <w:rPr>
          <w:rFonts w:asciiTheme="minorHAnsi" w:hAnsiTheme="minorHAnsi" w:cstheme="minorHAnsi"/>
        </w:rPr>
        <w:t xml:space="preserve"> (workflow). 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>v rámci work</w:t>
      </w:r>
      <w:r w:rsidR="003B493B"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>:</w:t>
      </w:r>
      <w:r w:rsidR="003B493B" w:rsidRPr="00261806">
        <w:rPr>
          <w:rFonts w:asciiTheme="minorHAnsi" w:hAnsiTheme="minorHAnsi" w:cstheme="minorHAnsi"/>
        </w:rPr>
        <w:t xml:space="preserve"> 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>Jednotlivé úrovně workflow lze rozšířit dle potřeby</w:t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>
        <w:t xml:space="preserve"> dle nastavení workflov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E34425" w:rsidRPr="008058B7" w:rsidRDefault="0095677A" w:rsidP="00995453">
      <w:pPr>
        <w:pStyle w:val="Text2-1"/>
        <w:rPr>
          <w:sz w:val="22"/>
        </w:rPr>
      </w:pPr>
      <w:r w:rsidRPr="008058B7">
        <w:rPr>
          <w:rFonts w:asciiTheme="minorHAnsi" w:hAnsiTheme="minorHAnsi" w:cstheme="minorHAnsi"/>
        </w:rPr>
        <w:t xml:space="preserve">Zhotovitel navrhne skupiny přístupových práv tak, aby odpovídali </w:t>
      </w:r>
      <w:r>
        <w:t xml:space="preserve">nastavení workflov vycházející z Matice. Pro potřeby Objednatele je doporučeno vytvořit </w:t>
      </w:r>
      <w:r w:rsidR="00E936F0">
        <w:t>několik</w:t>
      </w:r>
      <w:r>
        <w:t xml:space="preserve"> základních skupin pro práci v</w:t>
      </w:r>
      <w:r w:rsidR="00E936F0">
        <w:t> </w:t>
      </w:r>
      <w:r>
        <w:t>CDE</w:t>
      </w:r>
      <w:r w:rsidR="00E936F0">
        <w:t xml:space="preserve">. Typ a charakter skupin oprávnění bude upřesněn v </w:t>
      </w:r>
      <w:r w:rsidR="00935B52">
        <w:t xml:space="preserve">rámci </w:t>
      </w:r>
      <w:r w:rsidR="00935B52" w:rsidRPr="008058B7">
        <w:rPr>
          <w:rFonts w:asciiTheme="minorHAnsi" w:hAnsiTheme="minorHAnsi" w:cstheme="minorHAnsi"/>
        </w:rPr>
        <w:t>projednání</w:t>
      </w:r>
      <w:r w:rsidR="00E936F0" w:rsidRPr="008058B7">
        <w:rPr>
          <w:rFonts w:asciiTheme="minorHAnsi" w:hAnsiTheme="minorHAnsi" w:cstheme="minorHAnsi"/>
        </w:rPr>
        <w:t xml:space="preserve"> Díla. </w:t>
      </w:r>
      <w:r w:rsidR="00E34425">
        <w:br w:type="page"/>
      </w:r>
    </w:p>
    <w:p w:rsidR="00D61CCA" w:rsidRPr="00D61CCA" w:rsidRDefault="00360BFE" w:rsidP="00D61CCA">
      <w:pPr>
        <w:pStyle w:val="Nadpis2-2"/>
        <w:spacing w:before="240" w:after="120"/>
      </w:pPr>
      <w:bookmarkStart w:id="36" w:name="_Toc116892186"/>
      <w:r>
        <w:lastRenderedPageBreak/>
        <w:t>Struktura společného datového prostředí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3F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D63709" w:rsidRPr="00935B52" w:rsidTr="00935B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D63709" w:rsidRPr="00935B52" w:rsidRDefault="00D63709" w:rsidP="00E936F0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D63709" w:rsidRPr="00935B52" w:rsidRDefault="00D63709" w:rsidP="00D6370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DUR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935B52" w:rsidRPr="00935B52" w:rsidRDefault="00DB55C7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="00D63709" w:rsidRPr="00935B52">
              <w:rPr>
                <w:sz w:val="16"/>
                <w:szCs w:val="16"/>
              </w:rPr>
              <w:t>Dokumentace pro územní řízen</w:t>
            </w:r>
            <w:r w:rsidR="00935B52" w:rsidRPr="00935B52">
              <w:rPr>
                <w:sz w:val="16"/>
                <w:szCs w:val="16"/>
              </w:rPr>
              <w:t>í (dle struktury Manuálu A až R)*)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63709" w:rsidRPr="00935B52" w:rsidRDefault="00DB55C7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="00D63709"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DSP</w:t>
            </w:r>
            <w:r w:rsidR="00D63709" w:rsidRPr="00935B52">
              <w:rPr>
                <w:b/>
                <w:sz w:val="16"/>
                <w:szCs w:val="16"/>
              </w:rPr>
              <w:t>/DUSP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="00E34425"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="00E34425" w:rsidRPr="00935B52">
              <w:rPr>
                <w:sz w:val="16"/>
                <w:szCs w:val="16"/>
              </w:rPr>
              <w:t>Digitální model stavby</w:t>
            </w:r>
            <w:r w:rsidR="00D63709" w:rsidRPr="00935B52">
              <w:rPr>
                <w:sz w:val="16"/>
                <w:szCs w:val="16"/>
              </w:rPr>
              <w:t xml:space="preserve"> DSP/DUSP</w:t>
            </w:r>
            <w:r w:rsidR="00E34425" w:rsidRPr="00935B52">
              <w:rPr>
                <w:sz w:val="16"/>
                <w:szCs w:val="16"/>
              </w:rPr>
              <w:t xml:space="preserve">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="00E34425"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="00E34425"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E34425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E34425" w:rsidRPr="00626853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E34425" w:rsidRDefault="00E34425"/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/>
    <w:p w:rsidR="00D63709" w:rsidRPr="00935B52" w:rsidRDefault="00935B52" w:rsidP="00935B52">
      <w:pPr>
        <w:spacing w:before="0"/>
        <w:contextualSpacing/>
        <w:rPr>
          <w:i/>
          <w:sz w:val="16"/>
        </w:rPr>
      </w:pPr>
      <w:r w:rsidRPr="00935B52">
        <w:rPr>
          <w:i/>
          <w:sz w:val="16"/>
        </w:rPr>
        <w:t xml:space="preserve">*)V případě, že byla příslušná dokumentace již zpracována a bude vložena do části CDE již jako kompletní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 xml:space="preserve">dokumentace, která současně tvoří podklad pro zpracování Díla. V případě, že dokumentace tvoří podklad </w:t>
      </w:r>
      <w:r>
        <w:rPr>
          <w:i/>
          <w:sz w:val="16"/>
        </w:rPr>
        <w:t xml:space="preserve">  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>pro zpracování Díla není nutné upravovat její strukturu dle Manuálu.</w:t>
      </w:r>
    </w:p>
    <w:p w:rsidR="006C5744" w:rsidRPr="008D548C" w:rsidRDefault="006C5744" w:rsidP="006C5744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935B52" w:rsidRDefault="00935B52">
      <w:pPr>
        <w:rPr>
          <w:sz w:val="22"/>
        </w:rPr>
      </w:pPr>
      <w:bookmarkStart w:id="37" w:name="_Ref46408358"/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38" w:name="_Toc116892187"/>
      <w:bookmarkEnd w:id="37"/>
      <w:r w:rsidRPr="00766D4F">
        <w:lastRenderedPageBreak/>
        <w:t xml:space="preserve">Softwarové </w:t>
      </w:r>
      <w:r w:rsidR="00854DAB">
        <w:t>nástroje</w:t>
      </w:r>
      <w:r w:rsidRPr="00766D4F">
        <w:t xml:space="preserve"> a datové formáty</w:t>
      </w:r>
      <w:bookmarkEnd w:id="38"/>
    </w:p>
    <w:p w:rsidR="00CB2E41" w:rsidRDefault="00CB2E41" w:rsidP="00CB2E41">
      <w:pPr>
        <w:pStyle w:val="Nadpis2-2"/>
      </w:pPr>
      <w:bookmarkStart w:id="39" w:name="_Toc116892188"/>
      <w:r>
        <w:t xml:space="preserve">Datové formáty </w:t>
      </w:r>
      <w:r w:rsidR="00632EAA">
        <w:t>DiMS</w:t>
      </w:r>
      <w:bookmarkEnd w:id="39"/>
    </w:p>
    <w:p w:rsidR="005A5094" w:rsidRDefault="002E614A" w:rsidP="00332496">
      <w:pPr>
        <w:ind w:left="709"/>
      </w:pPr>
      <w:r w:rsidRPr="002E614A">
        <w:t>Výpis jednotlivých softwarových nástrojů (SW) dle profesních skupin objektů bude uvedený v dokumentu BEP. Uvádí se profesní nástroje nativního formátu a formátu ifc., pdf,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 w:rsidR="00632EAA">
        <w:t>DiMS</w:t>
      </w:r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="00632EAA">
        <w:t>DiMS</w:t>
      </w:r>
      <w:r w:rsidR="00432BF2" w:rsidRPr="00332496">
        <w:t xml:space="preserve"> vytvářen (např. dwg, dgn);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r w:rsidR="00632EAA">
        <w:t>DiMS</w:t>
      </w:r>
      <w:r w:rsidRPr="00332496">
        <w:t xml:space="preserve"> (např. nwd</w:t>
      </w:r>
      <w:r w:rsidR="004F69E1" w:rsidRPr="00332496">
        <w:t>; idgn</w:t>
      </w:r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40" w:name="_Toc116892189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40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r w:rsidR="00632EAA">
        <w:t>DiMS</w:t>
      </w:r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r w:rsidR="00632EAA">
        <w:t>DiMS</w:t>
      </w:r>
      <w:r>
        <w:t xml:space="preserve"> s harmonogramem realizace díla, tj. návrhu stavebních postupu prací na realizaci stavby,</w:t>
      </w:r>
    </w:p>
    <w:p w:rsidR="008058B7" w:rsidRPr="008058B7" w:rsidRDefault="0094600E" w:rsidP="00995453">
      <w:pPr>
        <w:pStyle w:val="Odstavecseseznamem"/>
        <w:numPr>
          <w:ilvl w:val="0"/>
          <w:numId w:val="17"/>
        </w:numPr>
        <w:spacing w:line="264" w:lineRule="auto"/>
        <w:rPr>
          <w:sz w:val="22"/>
        </w:rPr>
      </w:pPr>
      <w:r>
        <w:t xml:space="preserve">propojení </w:t>
      </w:r>
      <w:r w:rsidR="00632EAA">
        <w:t>DiMS</w:t>
      </w:r>
      <w:r>
        <w:t xml:space="preserve">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41" w:name="_Toc116892190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1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:rsidR="002E614A" w:rsidRPr="006314A3" w:rsidRDefault="00632EAA" w:rsidP="00825D40">
      <w:pPr>
        <w:ind w:left="709"/>
        <w:jc w:val="both"/>
      </w:pPr>
      <w:r>
        <w:t>DiMS</w:t>
      </w:r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</w:t>
      </w:r>
      <w:r w:rsidR="00C1356E">
        <w:t>ami</w:t>
      </w:r>
      <w:r w:rsidR="002E614A">
        <w:t xml:space="preserve"> vlastností sdružujících jednotlivé vlastnosti elementů.</w:t>
      </w:r>
      <w:r w:rsidR="0020689C">
        <w:t xml:space="preserve"> </w:t>
      </w:r>
      <w:r w:rsidR="0020689C" w:rsidRPr="006314A3">
        <w:t>Základní skupiny vlastností vycházející z metodiky „Předpis pro informační modelování staveb (BIM) pro stavby dopravní infrastruktury - Datový standard pro PDSP včetně příloh - prozatímní verze (září 2019)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</w:p>
    <w:p w:rsidR="00C1356E" w:rsidRDefault="00534112" w:rsidP="00534112">
      <w:pPr>
        <w:ind w:firstLine="709"/>
        <w:jc w:val="both"/>
      </w:pPr>
      <w:r>
        <w:t>- Příloh A_</w:t>
      </w:r>
      <w:r w:rsidR="008058B7">
        <w:t>4</w:t>
      </w:r>
      <w:r>
        <w:t xml:space="preserve"> – Datová struktura pro pozemní stavby</w:t>
      </w:r>
    </w:p>
    <w:p w:rsidR="008058B7" w:rsidRDefault="008058B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lastRenderedPageBreak/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902577" w:rsidRDefault="00902577" w:rsidP="00902577">
      <w:pPr>
        <w:pStyle w:val="Text2-1"/>
        <w:numPr>
          <w:ilvl w:val="2"/>
          <w:numId w:val="35"/>
        </w:numPr>
      </w:pPr>
      <w:r>
        <w:t>V DiMS bude provedeno značení parametrů ve vazbě na zdroj podkladů z kterého požadovaný parametr primárně vzešel  (datový standard, klasifikace, číselník apod.), který ho vyžaduje (např. SŽ, SFDI, ČAS, CCI, Zpracovatel) v kombinaci s jeho názvem dle jednotného formátu (Zdroj_Název parametru). Příkladové označení: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rFonts w:ascii="Times New Roman" w:hAnsi="Times New Roman"/>
          <w:b/>
          <w:bCs/>
          <w:lang w:eastAsia="cs-CZ"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SŽ_</w:t>
      </w:r>
      <w:r>
        <w:t>Staničení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SFDI_</w:t>
      </w:r>
      <w:r>
        <w:t>Skupina elementů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ČAS_</w:t>
      </w:r>
      <w:r>
        <w:t>Katastrální území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CCI_</w:t>
      </w:r>
      <w:r>
        <w:t>Funkční systém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Zpracovatel_</w:t>
      </w:r>
      <w:r>
        <w:t>Hladina</w:t>
      </w:r>
    </w:p>
    <w:p w:rsidR="0012605C" w:rsidRDefault="0012605C" w:rsidP="0012605C">
      <w:pPr>
        <w:pStyle w:val="Textbezslovn"/>
        <w:spacing w:before="0" w:after="60" w:line="264" w:lineRule="auto"/>
      </w:pPr>
    </w:p>
    <w:p w:rsidR="0012605C" w:rsidRDefault="0012605C" w:rsidP="0012605C">
      <w:pPr>
        <w:pStyle w:val="Text2-1"/>
        <w:numPr>
          <w:ilvl w:val="2"/>
          <w:numId w:val="35"/>
        </w:numPr>
      </w:pPr>
      <w:r>
        <w:t>Formát a jednotky jednotlivých vlastností budou korespondovat s datovým standardem. Hodnota žádné obsažené vlastnosti nebude prázdná. Každá vlastnost musí mít hodnotu. Vlastnosti, které nejsou pro prvek relevantní</w:t>
      </w:r>
      <w:r w:rsidR="004D3134">
        <w:t>,</w:t>
      </w:r>
      <w:r>
        <w:t xml:space="preserve"> budou vyplněny podle datového typu dle následující tabulky:</w:t>
      </w:r>
    </w:p>
    <w:tbl>
      <w:tblPr>
        <w:tblW w:w="3600" w:type="dxa"/>
        <w:tblInd w:w="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1900"/>
      </w:tblGrid>
      <w:tr w:rsidR="0012605C" w:rsidTr="00A90511">
        <w:trPr>
          <w:trHeight w:val="30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Datový typ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Hodnota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Date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 příp. 1.1.1111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String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Number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9999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Text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Integer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9999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Boolean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 příp. NE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URL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</w:tbl>
    <w:p w:rsidR="0012605C" w:rsidRDefault="0012605C" w:rsidP="0012605C">
      <w:pPr>
        <w:pStyle w:val="Text2-1"/>
        <w:numPr>
          <w:ilvl w:val="0"/>
          <w:numId w:val="0"/>
        </w:numPr>
        <w:ind w:left="737"/>
      </w:pPr>
    </w:p>
    <w:p w:rsidR="0012605C" w:rsidRDefault="0012605C">
      <w:pPr>
        <w:rPr>
          <w:b/>
          <w:bCs/>
        </w:rPr>
      </w:pPr>
      <w:r>
        <w:rPr>
          <w:b/>
          <w:bCs/>
        </w:rPr>
        <w:br w:type="page"/>
      </w:r>
    </w:p>
    <w:p w:rsidR="00F60881" w:rsidRDefault="00F60881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</w:p>
    <w:p w:rsidR="00793611" w:rsidRPr="006314A3" w:rsidRDefault="00793611" w:rsidP="00793611">
      <w:pPr>
        <w:pStyle w:val="Nadpis2-2"/>
      </w:pPr>
      <w:bookmarkStart w:id="42" w:name="_Toc116892191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2"/>
    </w:p>
    <w:p w:rsidR="00CB48FD" w:rsidRPr="00CB48FD" w:rsidRDefault="00CB48FD" w:rsidP="00CB48FD">
      <w:pPr>
        <w:pStyle w:val="Text2-1"/>
      </w:pPr>
      <w:r w:rsidRPr="00CB48FD">
        <w:t xml:space="preserve">Klasifikace CCI je navržena s ohledem na potřeby informačního modelování a digitálního zpracování informací. Její struktura je založena na fazetovém principu a proto se skládá z několika úrovní.  Jednotlivé úrovně reprezentují buď stavební komplexy a entity nebo samotné fyzické prvky. </w:t>
      </w:r>
    </w:p>
    <w:p w:rsidR="00224BD2" w:rsidRPr="006314A3" w:rsidRDefault="00526BCA" w:rsidP="00CB48FD">
      <w:pPr>
        <w:pStyle w:val="Text2-1"/>
        <w:numPr>
          <w:ilvl w:val="0"/>
          <w:numId w:val="0"/>
        </w:numPr>
        <w:ind w:left="737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37248" behindDoc="1" locked="0" layoutInCell="1" allowOverlap="1" wp14:anchorId="131F1CFE" wp14:editId="2BA7EC01">
            <wp:simplePos x="0" y="0"/>
            <wp:positionH relativeFrom="column">
              <wp:posOffset>408305</wp:posOffset>
            </wp:positionH>
            <wp:positionV relativeFrom="paragraph">
              <wp:posOffset>5080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r w:rsidR="00632EAA">
        <w:t>DiMS</w:t>
      </w:r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A.2 - </w:t>
      </w:r>
      <w:r w:rsidRPr="0035657D">
        <w:t>Datový</w:t>
      </w:r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</w:t>
      </w:r>
    </w:p>
    <w:sectPr w:rsidR="0035657D" w:rsidSect="00C7625A">
      <w:headerReference w:type="first" r:id="rId22"/>
      <w:footerReference w:type="first" r:id="rId23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292" w:rsidRDefault="007B6292" w:rsidP="00962258">
      <w:r>
        <w:separator/>
      </w:r>
    </w:p>
  </w:endnote>
  <w:endnote w:type="continuationSeparator" w:id="0">
    <w:p w:rsidR="007B6292" w:rsidRDefault="007B629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95453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995453" w:rsidRPr="00B8518B" w:rsidRDefault="00995453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0B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0BF9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995453" w:rsidRPr="003462EB" w:rsidRDefault="00F64398" w:rsidP="007C657F">
          <w:pPr>
            <w:pStyle w:val="Zpatvpravo"/>
            <w:contextualSpacing/>
          </w:pPr>
          <w:fldSimple w:instr=" STYLEREF  _Název_akce  \* MERGEFORMAT ">
            <w:r w:rsidR="00FB0BF9">
              <w:rPr>
                <w:noProof/>
              </w:rPr>
              <w:t>„RS 4 úsek Ústí nad Labem - státní hranice CZ/SRN, Ústí nad Labem západ – portál Krušnohorského tunelu“</w:t>
            </w:r>
          </w:fldSimple>
        </w:p>
        <w:p w:rsidR="00995453" w:rsidRDefault="00995453" w:rsidP="00824308">
          <w:pPr>
            <w:pStyle w:val="Zpatvpravo"/>
            <w:contextualSpacing/>
          </w:pPr>
          <w:r>
            <w:t>BIM Protokol – Příloha B</w:t>
          </w:r>
        </w:p>
        <w:p w:rsidR="00995453" w:rsidRPr="003462EB" w:rsidRDefault="00995453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995453" w:rsidRPr="00980288" w:rsidRDefault="0099545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95453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995453" w:rsidRPr="003462EB" w:rsidRDefault="00F64398" w:rsidP="00980288">
          <w:pPr>
            <w:pStyle w:val="Zpatvlevo"/>
            <w:contextualSpacing/>
          </w:pPr>
          <w:fldSimple w:instr=" STYLEREF  _Název_akce  \* MERGEFORMAT ">
            <w:r w:rsidR="00FB0BF9">
              <w:rPr>
                <w:noProof/>
              </w:rPr>
              <w:t>„RS 4 úsek Ústí nad Labem - státní hranice CZ/SRN, Ústí nad Labem západ – portál Krušnohorského tunelu“</w:t>
            </w:r>
          </w:fldSimple>
        </w:p>
        <w:p w:rsidR="00995453" w:rsidRDefault="00995453" w:rsidP="0017529C">
          <w:pPr>
            <w:pStyle w:val="Zpatvlevo"/>
            <w:contextualSpacing/>
          </w:pPr>
          <w:r>
            <w:t>BIM Protokol – Příloha B</w:t>
          </w:r>
        </w:p>
        <w:p w:rsidR="00995453" w:rsidRPr="003462EB" w:rsidRDefault="00995453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995453" w:rsidRPr="009E09BE" w:rsidRDefault="00995453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0BF9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0BF9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</w:tr>
  </w:tbl>
  <w:p w:rsidR="00995453" w:rsidRPr="00B8518B" w:rsidRDefault="0099545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53" w:rsidRPr="00B8518B" w:rsidRDefault="00995453" w:rsidP="00460660">
    <w:pPr>
      <w:pStyle w:val="Zpat"/>
      <w:rPr>
        <w:sz w:val="2"/>
        <w:szCs w:val="2"/>
      </w:rPr>
    </w:pPr>
  </w:p>
  <w:p w:rsidR="00995453" w:rsidRDefault="00995453" w:rsidP="00054FC6">
    <w:pPr>
      <w:pStyle w:val="Zpat"/>
      <w:rPr>
        <w:rFonts w:cs="Calibri"/>
        <w:szCs w:val="12"/>
      </w:rPr>
    </w:pPr>
  </w:p>
  <w:p w:rsidR="00995453" w:rsidRDefault="00995453" w:rsidP="00054FC6">
    <w:pPr>
      <w:pStyle w:val="Zpat"/>
      <w:rPr>
        <w:rFonts w:cs="Calibri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5A" w:rsidRPr="00B8518B" w:rsidRDefault="00C7625A" w:rsidP="00460660">
    <w:pPr>
      <w:pStyle w:val="Zpat"/>
      <w:rPr>
        <w:sz w:val="2"/>
        <w:szCs w:val="2"/>
      </w:rPr>
    </w:pPr>
  </w:p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625A" w:rsidRPr="009E09BE" w:rsidTr="00077AD0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C7625A" w:rsidRPr="003462EB" w:rsidRDefault="007B6292" w:rsidP="00C7625A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B0BF9">
            <w:rPr>
              <w:noProof/>
            </w:rPr>
            <w:t>„RS 4 úsek Ústí nad Labem - státní hranice CZ/SRN, Ústí nad Labem západ – portál Krušnohorského tunelu“</w:t>
          </w:r>
          <w:r>
            <w:rPr>
              <w:noProof/>
            </w:rPr>
            <w:fldChar w:fldCharType="end"/>
          </w:r>
        </w:p>
        <w:p w:rsidR="00C7625A" w:rsidRDefault="00C7625A" w:rsidP="00C7625A">
          <w:pPr>
            <w:pStyle w:val="Zpatvlevo"/>
            <w:contextualSpacing/>
          </w:pPr>
          <w:r>
            <w:t>BIM Protokol – Příloha B</w:t>
          </w:r>
        </w:p>
        <w:p w:rsidR="00C7625A" w:rsidRPr="003462EB" w:rsidRDefault="00C7625A" w:rsidP="00C7625A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C7625A" w:rsidRPr="009E09BE" w:rsidRDefault="00C7625A" w:rsidP="00C7625A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0BF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0BF9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</w:tr>
  </w:tbl>
  <w:p w:rsidR="00C7625A" w:rsidRDefault="00C7625A" w:rsidP="00054FC6">
    <w:pPr>
      <w:pStyle w:val="Zpat"/>
      <w:rPr>
        <w:rFonts w:cs="Calibri"/>
        <w:szCs w:val="12"/>
      </w:rPr>
    </w:pPr>
  </w:p>
  <w:p w:rsidR="00C7625A" w:rsidRDefault="00C7625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292" w:rsidRDefault="007B6292" w:rsidP="00962258">
      <w:r>
        <w:separator/>
      </w:r>
    </w:p>
  </w:footnote>
  <w:footnote w:type="continuationSeparator" w:id="0">
    <w:p w:rsidR="007B6292" w:rsidRDefault="007B629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9545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995453" w:rsidRPr="00B8518B" w:rsidRDefault="0099545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95453" w:rsidRDefault="0099545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95453" w:rsidRPr="00D6163D" w:rsidRDefault="00995453" w:rsidP="00D6163D">
          <w:pPr>
            <w:pStyle w:val="Druhdokumentu"/>
          </w:pPr>
        </w:p>
      </w:tc>
    </w:tr>
  </w:tbl>
  <w:p w:rsidR="00995453" w:rsidRPr="00D6163D" w:rsidRDefault="0099545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9545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95453" w:rsidRPr="00B8518B" w:rsidRDefault="009954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6C81E008" wp14:editId="4D7C90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95453" w:rsidRDefault="0099545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95453" w:rsidRPr="00D6163D" w:rsidRDefault="00995453" w:rsidP="00FC6389">
          <w:pPr>
            <w:pStyle w:val="Druhdokumentu"/>
          </w:pPr>
        </w:p>
      </w:tc>
    </w:tr>
    <w:tr w:rsidR="0099545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95453" w:rsidRPr="00B8518B" w:rsidRDefault="0099545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95453" w:rsidRDefault="0099545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95453" w:rsidRPr="00D6163D" w:rsidRDefault="00995453" w:rsidP="00FC6389">
          <w:pPr>
            <w:pStyle w:val="Druhdokumentu"/>
          </w:pPr>
        </w:p>
      </w:tc>
    </w:tr>
  </w:tbl>
  <w:p w:rsidR="00995453" w:rsidRPr="00D6163D" w:rsidRDefault="00995453" w:rsidP="00FC6389">
    <w:pPr>
      <w:pStyle w:val="Zhlav"/>
      <w:rPr>
        <w:sz w:val="8"/>
        <w:szCs w:val="8"/>
      </w:rPr>
    </w:pPr>
  </w:p>
  <w:p w:rsidR="00995453" w:rsidRPr="00460660" w:rsidRDefault="00995453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5A" w:rsidRPr="00D6163D" w:rsidRDefault="00C7625A" w:rsidP="00FC6389">
    <w:pPr>
      <w:pStyle w:val="Zhlav"/>
      <w:rPr>
        <w:sz w:val="8"/>
        <w:szCs w:val="8"/>
      </w:rPr>
    </w:pPr>
  </w:p>
  <w:p w:rsidR="00C7625A" w:rsidRPr="00460660" w:rsidRDefault="00C7625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8"/>
  </w:num>
  <w:num w:numId="5">
    <w:abstractNumId w:val="9"/>
  </w:num>
  <w:num w:numId="6">
    <w:abstractNumId w:val="16"/>
  </w:num>
  <w:num w:numId="7">
    <w:abstractNumId w:val="0"/>
  </w:num>
  <w:num w:numId="8">
    <w:abstractNumId w:val="5"/>
  </w:num>
  <w:num w:numId="9">
    <w:abstractNumId w:val="17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7A2F"/>
    <w:rsid w:val="00017F3C"/>
    <w:rsid w:val="00022A91"/>
    <w:rsid w:val="00026A24"/>
    <w:rsid w:val="00026A7F"/>
    <w:rsid w:val="0003075E"/>
    <w:rsid w:val="00030AE2"/>
    <w:rsid w:val="000328F3"/>
    <w:rsid w:val="00035A5B"/>
    <w:rsid w:val="00037718"/>
    <w:rsid w:val="000403DB"/>
    <w:rsid w:val="00041EC8"/>
    <w:rsid w:val="00044652"/>
    <w:rsid w:val="00046E8B"/>
    <w:rsid w:val="0005299A"/>
    <w:rsid w:val="00054FC6"/>
    <w:rsid w:val="00057831"/>
    <w:rsid w:val="0006189D"/>
    <w:rsid w:val="00063A19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5F1"/>
    <w:rsid w:val="000F18B5"/>
    <w:rsid w:val="000F494E"/>
    <w:rsid w:val="000F56C8"/>
    <w:rsid w:val="000F62EA"/>
    <w:rsid w:val="000F756B"/>
    <w:rsid w:val="000F77B5"/>
    <w:rsid w:val="0010076E"/>
    <w:rsid w:val="00102816"/>
    <w:rsid w:val="001077CC"/>
    <w:rsid w:val="001102D1"/>
    <w:rsid w:val="001110FA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545"/>
    <w:rsid w:val="00117F99"/>
    <w:rsid w:val="00122586"/>
    <w:rsid w:val="00124C64"/>
    <w:rsid w:val="0012605C"/>
    <w:rsid w:val="00126A47"/>
    <w:rsid w:val="00127AD9"/>
    <w:rsid w:val="001306E5"/>
    <w:rsid w:val="001322BC"/>
    <w:rsid w:val="00140F19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3EFB"/>
    <w:rsid w:val="00156E43"/>
    <w:rsid w:val="00162515"/>
    <w:rsid w:val="001656A2"/>
    <w:rsid w:val="00170EC5"/>
    <w:rsid w:val="00172B3B"/>
    <w:rsid w:val="001747C1"/>
    <w:rsid w:val="001747D1"/>
    <w:rsid w:val="0017529C"/>
    <w:rsid w:val="00175C06"/>
    <w:rsid w:val="0017602D"/>
    <w:rsid w:val="00177D6B"/>
    <w:rsid w:val="0018478E"/>
    <w:rsid w:val="00186A7F"/>
    <w:rsid w:val="00191D54"/>
    <w:rsid w:val="00191F90"/>
    <w:rsid w:val="00193725"/>
    <w:rsid w:val="00193742"/>
    <w:rsid w:val="00193897"/>
    <w:rsid w:val="00195366"/>
    <w:rsid w:val="00197428"/>
    <w:rsid w:val="00197FEF"/>
    <w:rsid w:val="001A0901"/>
    <w:rsid w:val="001A1F90"/>
    <w:rsid w:val="001A3B3C"/>
    <w:rsid w:val="001A4EA5"/>
    <w:rsid w:val="001A4F68"/>
    <w:rsid w:val="001A5C1A"/>
    <w:rsid w:val="001A5F4E"/>
    <w:rsid w:val="001A740E"/>
    <w:rsid w:val="001B11F1"/>
    <w:rsid w:val="001B4180"/>
    <w:rsid w:val="001B4E74"/>
    <w:rsid w:val="001B6B3A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0D07"/>
    <w:rsid w:val="001E4906"/>
    <w:rsid w:val="001E678E"/>
    <w:rsid w:val="001F18FE"/>
    <w:rsid w:val="001F30AD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276DC"/>
    <w:rsid w:val="002333CD"/>
    <w:rsid w:val="0023379B"/>
    <w:rsid w:val="00234E78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2D28"/>
    <w:rsid w:val="00262D76"/>
    <w:rsid w:val="00262E5B"/>
    <w:rsid w:val="00265AE6"/>
    <w:rsid w:val="00273380"/>
    <w:rsid w:val="00276AFE"/>
    <w:rsid w:val="00277E79"/>
    <w:rsid w:val="00280C98"/>
    <w:rsid w:val="00290D7E"/>
    <w:rsid w:val="00291AC6"/>
    <w:rsid w:val="00293CA2"/>
    <w:rsid w:val="00296805"/>
    <w:rsid w:val="002A1108"/>
    <w:rsid w:val="002A2E55"/>
    <w:rsid w:val="002A3B57"/>
    <w:rsid w:val="002A4C27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9BE"/>
    <w:rsid w:val="002F0D10"/>
    <w:rsid w:val="002F4333"/>
    <w:rsid w:val="0030202F"/>
    <w:rsid w:val="00302A44"/>
    <w:rsid w:val="0030326B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FCE"/>
    <w:rsid w:val="00361422"/>
    <w:rsid w:val="00361677"/>
    <w:rsid w:val="003616CD"/>
    <w:rsid w:val="0036530F"/>
    <w:rsid w:val="00365444"/>
    <w:rsid w:val="00373F8A"/>
    <w:rsid w:val="0037545D"/>
    <w:rsid w:val="0037565A"/>
    <w:rsid w:val="00376C94"/>
    <w:rsid w:val="00377EB2"/>
    <w:rsid w:val="003822B1"/>
    <w:rsid w:val="003822D9"/>
    <w:rsid w:val="003832C1"/>
    <w:rsid w:val="003849D4"/>
    <w:rsid w:val="00386FF1"/>
    <w:rsid w:val="00392978"/>
    <w:rsid w:val="00392EB6"/>
    <w:rsid w:val="003956C6"/>
    <w:rsid w:val="00396658"/>
    <w:rsid w:val="00396F32"/>
    <w:rsid w:val="003A0229"/>
    <w:rsid w:val="003A0DD7"/>
    <w:rsid w:val="003A115A"/>
    <w:rsid w:val="003A24E3"/>
    <w:rsid w:val="003A2D24"/>
    <w:rsid w:val="003A35A1"/>
    <w:rsid w:val="003A366B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D75AD"/>
    <w:rsid w:val="003E420D"/>
    <w:rsid w:val="003E4A3A"/>
    <w:rsid w:val="003E4C13"/>
    <w:rsid w:val="003F323E"/>
    <w:rsid w:val="004030DE"/>
    <w:rsid w:val="0040327D"/>
    <w:rsid w:val="004070A3"/>
    <w:rsid w:val="004078F3"/>
    <w:rsid w:val="0041068C"/>
    <w:rsid w:val="00411F11"/>
    <w:rsid w:val="0041783C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21B0"/>
    <w:rsid w:val="00432BF2"/>
    <w:rsid w:val="004352D0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6023A"/>
    <w:rsid w:val="00460660"/>
    <w:rsid w:val="00463BD5"/>
    <w:rsid w:val="00463DD3"/>
    <w:rsid w:val="00464A78"/>
    <w:rsid w:val="00464BA9"/>
    <w:rsid w:val="004665C8"/>
    <w:rsid w:val="00471397"/>
    <w:rsid w:val="004727CC"/>
    <w:rsid w:val="004734F2"/>
    <w:rsid w:val="0047596D"/>
    <w:rsid w:val="0047631A"/>
    <w:rsid w:val="00480060"/>
    <w:rsid w:val="00483969"/>
    <w:rsid w:val="00486107"/>
    <w:rsid w:val="0049088E"/>
    <w:rsid w:val="00491827"/>
    <w:rsid w:val="00491D20"/>
    <w:rsid w:val="00492E36"/>
    <w:rsid w:val="004944BB"/>
    <w:rsid w:val="00496A17"/>
    <w:rsid w:val="004A336F"/>
    <w:rsid w:val="004A37CE"/>
    <w:rsid w:val="004B0375"/>
    <w:rsid w:val="004B07B1"/>
    <w:rsid w:val="004B0A25"/>
    <w:rsid w:val="004B7261"/>
    <w:rsid w:val="004B7AA6"/>
    <w:rsid w:val="004B7D0F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3134"/>
    <w:rsid w:val="004D44AD"/>
    <w:rsid w:val="004D7BA0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2168A"/>
    <w:rsid w:val="00521BA2"/>
    <w:rsid w:val="00522056"/>
    <w:rsid w:val="00522353"/>
    <w:rsid w:val="00522787"/>
    <w:rsid w:val="00523BB5"/>
    <w:rsid w:val="00523EA7"/>
    <w:rsid w:val="00526BCA"/>
    <w:rsid w:val="00527410"/>
    <w:rsid w:val="00527C71"/>
    <w:rsid w:val="00531CB9"/>
    <w:rsid w:val="0053257C"/>
    <w:rsid w:val="00534112"/>
    <w:rsid w:val="00535230"/>
    <w:rsid w:val="00535BD2"/>
    <w:rsid w:val="00536998"/>
    <w:rsid w:val="005378DE"/>
    <w:rsid w:val="005406EB"/>
    <w:rsid w:val="00541CFB"/>
    <w:rsid w:val="00544F0D"/>
    <w:rsid w:val="00545398"/>
    <w:rsid w:val="00547160"/>
    <w:rsid w:val="0055082D"/>
    <w:rsid w:val="00552E73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97693"/>
    <w:rsid w:val="005A0C70"/>
    <w:rsid w:val="005A142F"/>
    <w:rsid w:val="005A1F44"/>
    <w:rsid w:val="005A21DC"/>
    <w:rsid w:val="005A26DD"/>
    <w:rsid w:val="005A5094"/>
    <w:rsid w:val="005B03EA"/>
    <w:rsid w:val="005B0872"/>
    <w:rsid w:val="005B68C2"/>
    <w:rsid w:val="005B6ED2"/>
    <w:rsid w:val="005C1301"/>
    <w:rsid w:val="005C2929"/>
    <w:rsid w:val="005C2A27"/>
    <w:rsid w:val="005C6B4A"/>
    <w:rsid w:val="005D19FD"/>
    <w:rsid w:val="005D3799"/>
    <w:rsid w:val="005D3C39"/>
    <w:rsid w:val="005D5508"/>
    <w:rsid w:val="005D5780"/>
    <w:rsid w:val="005D71E4"/>
    <w:rsid w:val="005D7DF1"/>
    <w:rsid w:val="005E1D1B"/>
    <w:rsid w:val="005E339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2EAA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B0C"/>
    <w:rsid w:val="006C7E81"/>
    <w:rsid w:val="006D0AFD"/>
    <w:rsid w:val="006D10AD"/>
    <w:rsid w:val="006D1298"/>
    <w:rsid w:val="006D1735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25D90"/>
    <w:rsid w:val="007318AC"/>
    <w:rsid w:val="00731971"/>
    <w:rsid w:val="00731CEB"/>
    <w:rsid w:val="007320FA"/>
    <w:rsid w:val="00732194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F94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B6292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822"/>
    <w:rsid w:val="007E2FF4"/>
    <w:rsid w:val="007E4999"/>
    <w:rsid w:val="007E4A6E"/>
    <w:rsid w:val="007E7110"/>
    <w:rsid w:val="007E7250"/>
    <w:rsid w:val="007F56A7"/>
    <w:rsid w:val="00800851"/>
    <w:rsid w:val="0080109F"/>
    <w:rsid w:val="0080171C"/>
    <w:rsid w:val="00801CC9"/>
    <w:rsid w:val="008058B7"/>
    <w:rsid w:val="00807373"/>
    <w:rsid w:val="00807DD0"/>
    <w:rsid w:val="00810A09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769"/>
    <w:rsid w:val="00823823"/>
    <w:rsid w:val="00824308"/>
    <w:rsid w:val="0082432F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37696"/>
    <w:rsid w:val="00842D5B"/>
    <w:rsid w:val="00846789"/>
    <w:rsid w:val="00847A26"/>
    <w:rsid w:val="008518FA"/>
    <w:rsid w:val="00854DAB"/>
    <w:rsid w:val="0085607A"/>
    <w:rsid w:val="00856E6D"/>
    <w:rsid w:val="00856F85"/>
    <w:rsid w:val="008610D3"/>
    <w:rsid w:val="00861B5C"/>
    <w:rsid w:val="0086206C"/>
    <w:rsid w:val="00865433"/>
    <w:rsid w:val="00866FC9"/>
    <w:rsid w:val="0087066C"/>
    <w:rsid w:val="008725AC"/>
    <w:rsid w:val="00873B0B"/>
    <w:rsid w:val="00875AE7"/>
    <w:rsid w:val="0088213E"/>
    <w:rsid w:val="008843D5"/>
    <w:rsid w:val="008864E3"/>
    <w:rsid w:val="00887308"/>
    <w:rsid w:val="00887BBB"/>
    <w:rsid w:val="00887E78"/>
    <w:rsid w:val="00887F36"/>
    <w:rsid w:val="00890A4F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5F0D"/>
    <w:rsid w:val="008A6425"/>
    <w:rsid w:val="008A6B0D"/>
    <w:rsid w:val="008B1831"/>
    <w:rsid w:val="008B4343"/>
    <w:rsid w:val="008B5E62"/>
    <w:rsid w:val="008B755B"/>
    <w:rsid w:val="008B7F72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C8B"/>
    <w:rsid w:val="008E0E99"/>
    <w:rsid w:val="008E188E"/>
    <w:rsid w:val="008E3E4F"/>
    <w:rsid w:val="008E7580"/>
    <w:rsid w:val="008F18D6"/>
    <w:rsid w:val="008F1B6F"/>
    <w:rsid w:val="008F2C9B"/>
    <w:rsid w:val="008F60C8"/>
    <w:rsid w:val="008F797B"/>
    <w:rsid w:val="0090083D"/>
    <w:rsid w:val="00901023"/>
    <w:rsid w:val="00901C2A"/>
    <w:rsid w:val="00902577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2E3D"/>
    <w:rsid w:val="0095386D"/>
    <w:rsid w:val="00954F39"/>
    <w:rsid w:val="00955484"/>
    <w:rsid w:val="0095677A"/>
    <w:rsid w:val="00961B4A"/>
    <w:rsid w:val="00962258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77CE1"/>
    <w:rsid w:val="00980288"/>
    <w:rsid w:val="00981B35"/>
    <w:rsid w:val="009844C8"/>
    <w:rsid w:val="00984F22"/>
    <w:rsid w:val="00985033"/>
    <w:rsid w:val="009927E6"/>
    <w:rsid w:val="00992D9C"/>
    <w:rsid w:val="00994D36"/>
    <w:rsid w:val="00995453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5F4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5CFB"/>
    <w:rsid w:val="009D64F8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2695E"/>
    <w:rsid w:val="00A35698"/>
    <w:rsid w:val="00A358FD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57834"/>
    <w:rsid w:val="00A6001B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608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0511"/>
    <w:rsid w:val="00A94C2F"/>
    <w:rsid w:val="00AA0879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D056F"/>
    <w:rsid w:val="00AD0C7B"/>
    <w:rsid w:val="00AD0F0E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E74D5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137"/>
    <w:rsid w:val="00B148BD"/>
    <w:rsid w:val="00B14A49"/>
    <w:rsid w:val="00B15D0D"/>
    <w:rsid w:val="00B16137"/>
    <w:rsid w:val="00B16FAA"/>
    <w:rsid w:val="00B21043"/>
    <w:rsid w:val="00B2160D"/>
    <w:rsid w:val="00B22106"/>
    <w:rsid w:val="00B30F61"/>
    <w:rsid w:val="00B322DA"/>
    <w:rsid w:val="00B32C36"/>
    <w:rsid w:val="00B3702B"/>
    <w:rsid w:val="00B42E53"/>
    <w:rsid w:val="00B43A83"/>
    <w:rsid w:val="00B45E9F"/>
    <w:rsid w:val="00B46848"/>
    <w:rsid w:val="00B46D03"/>
    <w:rsid w:val="00B50AB2"/>
    <w:rsid w:val="00B52C12"/>
    <w:rsid w:val="00B5431A"/>
    <w:rsid w:val="00B67657"/>
    <w:rsid w:val="00B67C4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7B9D"/>
    <w:rsid w:val="00B97CC3"/>
    <w:rsid w:val="00BA4AF4"/>
    <w:rsid w:val="00BA7959"/>
    <w:rsid w:val="00BA7C0C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054E5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6121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625A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D5CC4"/>
    <w:rsid w:val="00CD7B2A"/>
    <w:rsid w:val="00CE12CA"/>
    <w:rsid w:val="00CE1E5E"/>
    <w:rsid w:val="00CE282E"/>
    <w:rsid w:val="00CE348C"/>
    <w:rsid w:val="00CE3F0A"/>
    <w:rsid w:val="00CE5AFD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2A91"/>
    <w:rsid w:val="00D13D43"/>
    <w:rsid w:val="00D13F4C"/>
    <w:rsid w:val="00D17883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0BD"/>
    <w:rsid w:val="00D7595A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7920"/>
    <w:rsid w:val="00DE1F8D"/>
    <w:rsid w:val="00DE2A22"/>
    <w:rsid w:val="00DE51A5"/>
    <w:rsid w:val="00DE56F2"/>
    <w:rsid w:val="00DF116D"/>
    <w:rsid w:val="00DF4DDD"/>
    <w:rsid w:val="00DF7D51"/>
    <w:rsid w:val="00E01339"/>
    <w:rsid w:val="00E014A7"/>
    <w:rsid w:val="00E01840"/>
    <w:rsid w:val="00E01F7A"/>
    <w:rsid w:val="00E04A7B"/>
    <w:rsid w:val="00E065D7"/>
    <w:rsid w:val="00E07022"/>
    <w:rsid w:val="00E073BD"/>
    <w:rsid w:val="00E07B04"/>
    <w:rsid w:val="00E104D8"/>
    <w:rsid w:val="00E12585"/>
    <w:rsid w:val="00E142B1"/>
    <w:rsid w:val="00E16FF7"/>
    <w:rsid w:val="00E1732F"/>
    <w:rsid w:val="00E2000F"/>
    <w:rsid w:val="00E23637"/>
    <w:rsid w:val="00E26D68"/>
    <w:rsid w:val="00E3010F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24"/>
    <w:rsid w:val="00E760F0"/>
    <w:rsid w:val="00E801BC"/>
    <w:rsid w:val="00E80813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C7EBF"/>
    <w:rsid w:val="00ED0703"/>
    <w:rsid w:val="00ED14BD"/>
    <w:rsid w:val="00ED1B69"/>
    <w:rsid w:val="00ED582A"/>
    <w:rsid w:val="00EE4394"/>
    <w:rsid w:val="00EE4F08"/>
    <w:rsid w:val="00EE5FD3"/>
    <w:rsid w:val="00EE7236"/>
    <w:rsid w:val="00EE7256"/>
    <w:rsid w:val="00EF0070"/>
    <w:rsid w:val="00EF0A3A"/>
    <w:rsid w:val="00EF1373"/>
    <w:rsid w:val="00EF2151"/>
    <w:rsid w:val="00EF50D1"/>
    <w:rsid w:val="00EF7D60"/>
    <w:rsid w:val="00EF7DE6"/>
    <w:rsid w:val="00F007D1"/>
    <w:rsid w:val="00F01538"/>
    <w:rsid w:val="00F01652"/>
    <w:rsid w:val="00F016C7"/>
    <w:rsid w:val="00F02AA0"/>
    <w:rsid w:val="00F034BB"/>
    <w:rsid w:val="00F059EA"/>
    <w:rsid w:val="00F067C2"/>
    <w:rsid w:val="00F07CC7"/>
    <w:rsid w:val="00F07EC4"/>
    <w:rsid w:val="00F07EE8"/>
    <w:rsid w:val="00F11412"/>
    <w:rsid w:val="00F12DEC"/>
    <w:rsid w:val="00F133A1"/>
    <w:rsid w:val="00F1453D"/>
    <w:rsid w:val="00F15994"/>
    <w:rsid w:val="00F164C0"/>
    <w:rsid w:val="00F1715C"/>
    <w:rsid w:val="00F17DB5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029E"/>
    <w:rsid w:val="00F42013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1783"/>
    <w:rsid w:val="00F52BC4"/>
    <w:rsid w:val="00F535CA"/>
    <w:rsid w:val="00F54432"/>
    <w:rsid w:val="00F546C4"/>
    <w:rsid w:val="00F57F87"/>
    <w:rsid w:val="00F60881"/>
    <w:rsid w:val="00F61CAA"/>
    <w:rsid w:val="00F62191"/>
    <w:rsid w:val="00F63BC9"/>
    <w:rsid w:val="00F64398"/>
    <w:rsid w:val="00F64A6E"/>
    <w:rsid w:val="00F658BD"/>
    <w:rsid w:val="00F659EB"/>
    <w:rsid w:val="00F65E53"/>
    <w:rsid w:val="00F66D84"/>
    <w:rsid w:val="00F705D1"/>
    <w:rsid w:val="00F71EF2"/>
    <w:rsid w:val="00F73F32"/>
    <w:rsid w:val="00F76A0A"/>
    <w:rsid w:val="00F7762A"/>
    <w:rsid w:val="00F7787F"/>
    <w:rsid w:val="00F800C9"/>
    <w:rsid w:val="00F80921"/>
    <w:rsid w:val="00F81AA3"/>
    <w:rsid w:val="00F86BA6"/>
    <w:rsid w:val="00F8788B"/>
    <w:rsid w:val="00F96539"/>
    <w:rsid w:val="00F969D7"/>
    <w:rsid w:val="00FA07FB"/>
    <w:rsid w:val="00FA75C8"/>
    <w:rsid w:val="00FB0BF9"/>
    <w:rsid w:val="00FB1194"/>
    <w:rsid w:val="00FB3170"/>
    <w:rsid w:val="00FB3A89"/>
    <w:rsid w:val="00FB553F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7F5B"/>
    <w:rsid w:val="00FE06F8"/>
    <w:rsid w:val="00FE379D"/>
    <w:rsid w:val="00FE3B2E"/>
    <w:rsid w:val="00FE424D"/>
    <w:rsid w:val="00FE5AA9"/>
    <w:rsid w:val="00FE5F22"/>
    <w:rsid w:val="00FE6AEC"/>
    <w:rsid w:val="00FE6B8B"/>
    <w:rsid w:val="00FE7186"/>
    <w:rsid w:val="00FF1AA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D6F19"/>
  <w14:defaultImageDpi w14:val="32767"/>
  <w15:docId w15:val="{F828778E-4075-499C-9F87-05F49688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1EF2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spravazeleznic.cz/kontakty/sprava-webu-a-logomanua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hazkaMat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36F0"/>
    <w:rsid w:val="00045B6C"/>
    <w:rsid w:val="00062D0F"/>
    <w:rsid w:val="00076DD5"/>
    <w:rsid w:val="0008655F"/>
    <w:rsid w:val="00090C09"/>
    <w:rsid w:val="00097F3B"/>
    <w:rsid w:val="000A65BB"/>
    <w:rsid w:val="001A11D4"/>
    <w:rsid w:val="001F12AB"/>
    <w:rsid w:val="00207A73"/>
    <w:rsid w:val="002169DE"/>
    <w:rsid w:val="002211DC"/>
    <w:rsid w:val="002902A1"/>
    <w:rsid w:val="002E6712"/>
    <w:rsid w:val="00303665"/>
    <w:rsid w:val="00376087"/>
    <w:rsid w:val="003851F1"/>
    <w:rsid w:val="0038667C"/>
    <w:rsid w:val="00397518"/>
    <w:rsid w:val="003B1CFE"/>
    <w:rsid w:val="003D31E0"/>
    <w:rsid w:val="00426CE5"/>
    <w:rsid w:val="004303F5"/>
    <w:rsid w:val="004329F3"/>
    <w:rsid w:val="004710B6"/>
    <w:rsid w:val="00474145"/>
    <w:rsid w:val="004E797A"/>
    <w:rsid w:val="004E7D75"/>
    <w:rsid w:val="005327B1"/>
    <w:rsid w:val="00553056"/>
    <w:rsid w:val="005700A3"/>
    <w:rsid w:val="005A144F"/>
    <w:rsid w:val="005D1CA2"/>
    <w:rsid w:val="00614072"/>
    <w:rsid w:val="00615786"/>
    <w:rsid w:val="00616976"/>
    <w:rsid w:val="00665620"/>
    <w:rsid w:val="006B4F7D"/>
    <w:rsid w:val="00700C8A"/>
    <w:rsid w:val="00726EE9"/>
    <w:rsid w:val="00756E4C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15EDE"/>
    <w:rsid w:val="00A263DC"/>
    <w:rsid w:val="00A27DF0"/>
    <w:rsid w:val="00A36D85"/>
    <w:rsid w:val="00A55A14"/>
    <w:rsid w:val="00B531FF"/>
    <w:rsid w:val="00B95752"/>
    <w:rsid w:val="00BA77E8"/>
    <w:rsid w:val="00BC417C"/>
    <w:rsid w:val="00C4663E"/>
    <w:rsid w:val="00C97FB1"/>
    <w:rsid w:val="00CF0897"/>
    <w:rsid w:val="00D90A23"/>
    <w:rsid w:val="00D93A8B"/>
    <w:rsid w:val="00DD6724"/>
    <w:rsid w:val="00DF6466"/>
    <w:rsid w:val="00E05882"/>
    <w:rsid w:val="00E06587"/>
    <w:rsid w:val="00E601BB"/>
    <w:rsid w:val="00E9281D"/>
    <w:rsid w:val="00F37E07"/>
    <w:rsid w:val="00F46CFF"/>
    <w:rsid w:val="00F73F0D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8E11131-2734-4FEA-9B11-BB962DD0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8333</TotalTime>
  <Pages>25</Pages>
  <Words>7215</Words>
  <Characters>42573</Characters>
  <Application>Microsoft Office Word</Application>
  <DocSecurity>0</DocSecurity>
  <Lines>354</Lines>
  <Paragraphs>99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179</cp:revision>
  <cp:lastPrinted>2021-08-23T11:31:00Z</cp:lastPrinted>
  <dcterms:created xsi:type="dcterms:W3CDTF">2021-07-14T13:07:00Z</dcterms:created>
  <dcterms:modified xsi:type="dcterms:W3CDTF">2022-11-23T08:19:00Z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